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0" distR="0" simplePos="0" relativeHeight="251659264" behindDoc="0" locked="0" layoutInCell="1" allowOverlap="1">
            <wp:simplePos x="0" y="0"/>
            <wp:positionH relativeFrom="column">
              <wp:posOffset>39370</wp:posOffset>
            </wp:positionH>
            <wp:positionV relativeFrom="paragraph">
              <wp:posOffset>20320</wp:posOffset>
            </wp:positionV>
            <wp:extent cx="2494280" cy="800100"/>
            <wp:effectExtent l="0" t="0" r="1270" b="0"/>
            <wp:wrapNone/>
            <wp:docPr id="1" name="图片 2" descr="吉大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吉大标志"/>
                    <pic:cNvPicPr>
                      <a:picLocks noChangeAspect="1" noChangeArrowheads="1"/>
                    </pic:cNvPicPr>
                  </pic:nvPicPr>
                  <pic:blipFill>
                    <a:blip r:embed="rId5"/>
                    <a:stretch>
                      <a:fillRect/>
                    </a:stretch>
                  </pic:blipFill>
                  <pic:spPr>
                    <a:xfrm>
                      <a:off x="0" y="0"/>
                      <a:ext cx="2494280" cy="800100"/>
                    </a:xfrm>
                    <a:prstGeom prst="rect">
                      <a:avLst/>
                    </a:prstGeom>
                  </pic:spPr>
                </pic:pic>
              </a:graphicData>
            </a:graphic>
          </wp:anchor>
        </w:drawing>
      </w:r>
    </w:p>
    <w:p>
      <w:pPr>
        <w:spacing w:line="360" w:lineRule="auto"/>
        <w:jc w:val="center"/>
      </w:pPr>
      <w:r>
        <w:tab/>
      </w:r>
    </w:p>
    <w:p>
      <w:pPr>
        <w:spacing w:line="360" w:lineRule="auto"/>
        <w:jc w:val="center"/>
        <w:rPr>
          <w:b w:val="0"/>
          <w:bCs w:val="0"/>
        </w:rPr>
      </w:pPr>
    </w:p>
    <w:p>
      <w:pPr>
        <w:spacing w:line="360" w:lineRule="auto"/>
        <w:jc w:val="center"/>
        <w:rPr>
          <w:rFonts w:hint="default" w:ascii="宋体" w:hAnsi="宋体" w:eastAsia="宋体" w:cs="宋体"/>
          <w:b/>
          <w:bCs/>
          <w:color w:val="000000"/>
          <w:spacing w:val="-6"/>
          <w:w w:val="70"/>
          <w:sz w:val="72"/>
          <w:szCs w:val="72"/>
          <w:lang w:val="en-US" w:eastAsia="zh-CN"/>
        </w:rPr>
      </w:pPr>
      <w:bookmarkStart w:id="0" w:name="_Toc18875_WPSOffice_Level1"/>
      <w:r>
        <w:rPr>
          <w:rFonts w:hint="eastAsia" w:ascii="宋体" w:hAnsi="宋体" w:eastAsia="宋体" w:cs="宋体"/>
          <w:b/>
          <w:bCs/>
          <w:color w:val="000000"/>
          <w:spacing w:val="-6"/>
          <w:w w:val="70"/>
          <w:sz w:val="72"/>
          <w:szCs w:val="72"/>
          <w:lang w:val="en-US" w:eastAsia="zh-CN"/>
        </w:rPr>
        <w:t>通信与电子</w:t>
      </w:r>
      <w:r>
        <w:rPr>
          <w:rFonts w:hint="default" w:ascii="宋体" w:hAnsi="宋体" w:eastAsia="宋体" w:cs="宋体"/>
          <w:b/>
          <w:bCs/>
          <w:color w:val="000000"/>
          <w:spacing w:val="-6"/>
          <w:w w:val="70"/>
          <w:sz w:val="72"/>
          <w:szCs w:val="72"/>
          <w:lang w:val="en-US" w:eastAsia="zh-CN"/>
        </w:rPr>
        <w:t>工程学院</w:t>
      </w:r>
    </w:p>
    <w:p>
      <w:pPr>
        <w:spacing w:line="360" w:lineRule="auto"/>
        <w:jc w:val="center"/>
        <w:rPr>
          <w:rFonts w:hint="eastAsia" w:ascii="宋体" w:hAnsi="宋体" w:eastAsia="宋体" w:cs="宋体"/>
          <w:b/>
          <w:bCs/>
          <w:sz w:val="22"/>
          <w:szCs w:val="28"/>
        </w:rPr>
      </w:pPr>
      <w:r>
        <w:rPr>
          <w:rFonts w:hint="eastAsia" w:ascii="宋体" w:hAnsi="宋体" w:eastAsia="宋体" w:cs="宋体"/>
          <w:b/>
          <w:bCs/>
          <w:color w:val="000000"/>
          <w:spacing w:val="-6"/>
          <w:w w:val="70"/>
          <w:sz w:val="96"/>
          <w:szCs w:val="96"/>
        </w:rPr>
        <w:t>20</w:t>
      </w:r>
      <w:r>
        <w:rPr>
          <w:rFonts w:hint="eastAsia" w:ascii="宋体" w:hAnsi="宋体" w:eastAsia="宋体" w:cs="宋体"/>
          <w:b/>
          <w:bCs/>
          <w:color w:val="000000"/>
          <w:spacing w:val="-6"/>
          <w:w w:val="70"/>
          <w:sz w:val="96"/>
          <w:szCs w:val="96"/>
          <w:lang w:val="en-US" w:eastAsia="zh-CN"/>
        </w:rPr>
        <w:t>22</w:t>
      </w:r>
      <w:r>
        <w:rPr>
          <w:rFonts w:hint="eastAsia" w:ascii="宋体" w:hAnsi="宋体" w:eastAsia="宋体" w:cs="宋体"/>
          <w:b/>
          <w:bCs/>
          <w:color w:val="000000"/>
          <w:spacing w:val="-6"/>
          <w:w w:val="70"/>
          <w:sz w:val="96"/>
          <w:szCs w:val="96"/>
          <w:lang w:eastAsia="zh-CN"/>
        </w:rPr>
        <w:t>年度</w:t>
      </w:r>
      <w:r>
        <w:rPr>
          <w:rFonts w:hint="eastAsia" w:ascii="宋体" w:hAnsi="宋体" w:eastAsia="宋体" w:cs="宋体"/>
          <w:b/>
          <w:bCs/>
          <w:color w:val="000000"/>
          <w:spacing w:val="-6"/>
          <w:w w:val="70"/>
          <w:sz w:val="96"/>
          <w:szCs w:val="96"/>
        </w:rPr>
        <w:t>就业</w:t>
      </w:r>
      <w:bookmarkEnd w:id="0"/>
      <w:r>
        <w:rPr>
          <w:rFonts w:hint="eastAsia" w:ascii="宋体" w:hAnsi="宋体" w:eastAsia="宋体" w:cs="宋体"/>
          <w:b/>
          <w:bCs/>
          <w:color w:val="000000"/>
          <w:spacing w:val="-6"/>
          <w:w w:val="70"/>
          <w:sz w:val="96"/>
          <w:szCs w:val="96"/>
        </w:rPr>
        <w:t>质量报告</w:t>
      </w:r>
    </w:p>
    <w:p>
      <w:pPr>
        <w:spacing w:line="360" w:lineRule="auto"/>
        <w:jc w:val="center"/>
        <w:rPr>
          <w:rFonts w:ascii="仿宋_GB2312" w:hAnsi="仿宋_GB2312" w:eastAsia="仿宋_GB2312"/>
          <w:color w:val="000000"/>
          <w:sz w:val="72"/>
          <w:szCs w:val="72"/>
        </w:rPr>
      </w:pPr>
    </w:p>
    <w:p>
      <w:pPr>
        <w:spacing w:line="360" w:lineRule="auto"/>
        <w:jc w:val="center"/>
        <w:rPr>
          <w:rFonts w:hint="eastAsia" w:ascii="仿宋_GB2312" w:hAnsi="仿宋_GB2312" w:eastAsia="仿宋_GB2312"/>
          <w:color w:val="000000"/>
          <w:sz w:val="72"/>
          <w:szCs w:val="72"/>
          <w:lang w:eastAsia="zh-CN"/>
        </w:rPr>
      </w:pPr>
      <w:r>
        <w:rPr>
          <w:rFonts w:hint="eastAsia" w:ascii="仿宋_GB2312" w:hAnsi="仿宋_GB2312" w:eastAsia="仿宋_GB2312"/>
          <w:color w:val="000000"/>
          <w:sz w:val="72"/>
          <w:szCs w:val="72"/>
          <w:lang w:eastAsia="zh-CN"/>
        </w:rPr>
        <w:drawing>
          <wp:inline distT="0" distB="0" distL="114300" distR="114300">
            <wp:extent cx="4975860" cy="4201795"/>
            <wp:effectExtent l="15875" t="0" r="56515" b="87630"/>
            <wp:docPr id="7" name="图片 7" descr="微信截图_2020120910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1209102649"/>
                    <pic:cNvPicPr>
                      <a:picLocks noChangeAspect="1"/>
                    </pic:cNvPicPr>
                  </pic:nvPicPr>
                  <pic:blipFill>
                    <a:blip r:embed="rId6"/>
                    <a:stretch>
                      <a:fillRect/>
                    </a:stretch>
                  </pic:blipFill>
                  <pic:spPr>
                    <a:xfrm>
                      <a:off x="0" y="0"/>
                      <a:ext cx="4975860" cy="4201795"/>
                    </a:xfrm>
                    <a:prstGeom prst="rect">
                      <a:avLst/>
                    </a:prstGeom>
                    <a:effectLst>
                      <a:outerShdw blurRad="50800" dist="38100" dir="2700000" algn="tl" rotWithShape="0">
                        <a:prstClr val="black">
                          <a:alpha val="40000"/>
                        </a:prstClr>
                      </a:outerShdw>
                      <a:softEdge rad="127000"/>
                    </a:effectLst>
                  </pic:spPr>
                </pic:pic>
              </a:graphicData>
            </a:graphic>
          </wp:inline>
        </w:drawing>
      </w:r>
    </w:p>
    <w:p>
      <w:pPr>
        <w:jc w:val="center"/>
        <w:rPr>
          <w:rFonts w:hint="default" w:ascii="Times New Roman" w:hAnsi="Times New Roman" w:eastAsia="仿宋" w:cs="Times New Roman"/>
          <w:b/>
          <w:bCs/>
          <w:color w:val="000000"/>
          <w:sz w:val="44"/>
          <w:szCs w:val="44"/>
        </w:rPr>
      </w:pPr>
      <w:bookmarkStart w:id="1" w:name="_Toc22544_WPSOffice_Level1"/>
    </w:p>
    <w:p>
      <w:pPr>
        <w:jc w:val="center"/>
        <w:rPr>
          <w:rFonts w:hint="default" w:ascii="Times New Roman" w:hAnsi="Times New Roman" w:eastAsia="仿宋" w:cs="Times New Roman"/>
          <w:b/>
          <w:bCs/>
          <w:color w:val="000000"/>
          <w:sz w:val="44"/>
          <w:szCs w:val="44"/>
        </w:rPr>
      </w:pPr>
    </w:p>
    <w:p>
      <w:pPr>
        <w:jc w:val="center"/>
        <w:rPr>
          <w:rFonts w:hint="default" w:ascii="Times New Roman" w:hAnsi="Times New Roman" w:eastAsia="仿宋" w:cs="Times New Roman"/>
          <w:b/>
          <w:bCs/>
        </w:rPr>
        <w:sectPr>
          <w:pgSz w:w="11906" w:h="16838"/>
          <w:pgMar w:top="1440" w:right="1800" w:bottom="1440" w:left="1800" w:header="0" w:footer="0" w:gutter="0"/>
          <w:pgNumType w:fmt="decimal"/>
          <w:cols w:space="720" w:num="1"/>
          <w:formProt w:val="0"/>
          <w:docGrid w:type="lines" w:linePitch="312" w:charSpace="0"/>
        </w:sectPr>
      </w:pPr>
      <w:r>
        <w:rPr>
          <w:rFonts w:hint="default" w:ascii="Times New Roman" w:hAnsi="Times New Roman" w:eastAsia="仿宋" w:cs="Times New Roman"/>
          <w:b/>
          <w:bCs/>
          <w:color w:val="000000"/>
          <w:sz w:val="44"/>
          <w:szCs w:val="44"/>
        </w:rPr>
        <w:t>20</w:t>
      </w:r>
      <w:r>
        <w:rPr>
          <w:rFonts w:hint="eastAsia" w:ascii="Times New Roman" w:hAnsi="Times New Roman" w:eastAsia="仿宋" w:cs="Times New Roman"/>
          <w:b/>
          <w:bCs/>
          <w:color w:val="000000"/>
          <w:sz w:val="44"/>
          <w:szCs w:val="44"/>
          <w:lang w:val="en-US" w:eastAsia="zh-CN"/>
        </w:rPr>
        <w:t>22</w:t>
      </w:r>
      <w:r>
        <w:rPr>
          <w:rFonts w:hint="default" w:ascii="Times New Roman" w:hAnsi="Times New Roman" w:eastAsia="仿宋" w:cs="Times New Roman"/>
          <w:b/>
          <w:bCs/>
          <w:color w:val="000000"/>
          <w:sz w:val="44"/>
          <w:szCs w:val="44"/>
        </w:rPr>
        <w:t>年12月</w:t>
      </w:r>
      <w:bookmarkEnd w:id="1"/>
    </w:p>
    <w:sdt>
      <w:sdtPr>
        <w:id w:val="1"/>
        <w:docPartObj>
          <w:docPartGallery w:val="Table of Contents"/>
          <w:docPartUnique/>
        </w:docPartObj>
      </w:sdtPr>
      <w:sdtEndPr>
        <w:rPr>
          <w:rFonts w:hint="default" w:ascii="Times New Roman" w:hAnsi="Times New Roman" w:eastAsia="宋体" w:cs="Times New Roman"/>
          <w:sz w:val="28"/>
          <w:szCs w:val="28"/>
        </w:rPr>
      </w:sdtEndPr>
      <w:sdtContent>
        <w:p>
          <w:pPr>
            <w:spacing w:before="0" w:after="0" w:line="240" w:lineRule="auto"/>
            <w:ind w:left="420" w:right="0" w:firstLine="0"/>
            <w:jc w:val="center"/>
            <w:rPr>
              <w:rFonts w:hint="default" w:ascii="Times New Roman" w:hAnsi="Times New Roman" w:eastAsia="宋体" w:cs="Times New Roman"/>
            </w:rPr>
          </w:pPr>
          <w:r>
            <w:rPr>
              <w:rFonts w:hint="default" w:ascii="Times New Roman" w:hAnsi="Times New Roman" w:eastAsia="宋体" w:cs="Times New Roman"/>
              <w:sz w:val="44"/>
              <w:szCs w:val="44"/>
            </w:rPr>
            <w:t>目录</w:t>
          </w:r>
        </w:p>
        <w:p>
          <w:pPr>
            <w:pStyle w:val="10"/>
            <w:tabs>
              <w:tab w:val="right" w:leader="dot" w:pos="8306"/>
            </w:tabs>
            <w:spacing w:line="360" w:lineRule="auto"/>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Style w:val="21"/>
              <w:rFonts w:hint="default" w:ascii="Times New Roman" w:hAnsi="Times New Roman" w:eastAsia="宋体" w:cs="Times New Roman"/>
              <w:vanish w:val="0"/>
              <w:sz w:val="28"/>
              <w:szCs w:val="28"/>
            </w:rPr>
            <w:instrText xml:space="preserve">TOC \z \o "1-3" \u \h</w:instrText>
          </w:r>
          <w:r>
            <w:rPr>
              <w:rStyle w:val="21"/>
              <w:rFonts w:hint="default" w:ascii="Times New Roman" w:hAnsi="Times New Roman" w:eastAsia="宋体" w:cs="Times New Roman"/>
              <w:vanish w:val="0"/>
              <w:sz w:val="28"/>
              <w:szCs w:val="28"/>
            </w:rPr>
            <w:fldChar w:fldCharType="separate"/>
          </w: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"_Toc14945"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lang w:eastAsia="zh-CN"/>
            </w:rPr>
            <w:t>一、</w:t>
          </w:r>
          <w:r>
            <w:rPr>
              <w:rFonts w:hint="default" w:ascii="Times New Roman" w:hAnsi="Times New Roman" w:eastAsia="宋体" w:cs="Times New Roman"/>
              <w:b/>
              <w:bCs/>
              <w:sz w:val="28"/>
              <w:szCs w:val="28"/>
              <w:lang w:val="en-US" w:eastAsia="zh-CN"/>
            </w:rPr>
            <w:t xml:space="preserve"> 202</w:t>
          </w:r>
          <w:r>
            <w:rPr>
              <w:rFonts w:hint="eastAsia"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lang w:val="en-US" w:eastAsia="zh-CN"/>
            </w:rPr>
            <w:t>届</w:t>
          </w:r>
          <w:r>
            <w:rPr>
              <w:rStyle w:val="21"/>
              <w:rFonts w:hint="default" w:ascii="Times New Roman" w:hAnsi="Times New Roman" w:eastAsia="宋体" w:cs="Times New Roman"/>
              <w:b/>
              <w:bCs/>
              <w:vanish w:val="0"/>
              <w:sz w:val="28"/>
              <w:szCs w:val="28"/>
            </w:rPr>
            <w:t>毕业生</w:t>
          </w:r>
          <w:r>
            <w:rPr>
              <w:rStyle w:val="21"/>
              <w:rFonts w:hint="default" w:ascii="Times New Roman" w:hAnsi="Times New Roman" w:eastAsia="宋体" w:cs="Times New Roman"/>
              <w:b/>
              <w:bCs/>
              <w:vanish w:val="0"/>
              <w:sz w:val="28"/>
              <w:szCs w:val="28"/>
              <w:lang w:eastAsia="zh-CN"/>
            </w:rPr>
            <w:t>基本情况</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5</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1、性别构成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5</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2</w:t>
          </w:r>
          <w:r>
            <w:rPr>
              <w:rStyle w:val="21"/>
              <w:rFonts w:hint="default" w:ascii="Times New Roman" w:hAnsi="Times New Roman" w:eastAsia="宋体" w:cs="Times New Roman"/>
              <w:vanish w:val="0"/>
              <w:sz w:val="28"/>
              <w:szCs w:val="28"/>
              <w:lang w:val="en-US" w:eastAsia="zh-CN"/>
            </w:rPr>
            <w:t>、城乡生源分布</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5</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3</w:t>
          </w:r>
          <w:r>
            <w:rPr>
              <w:rStyle w:val="21"/>
              <w:rFonts w:hint="default" w:ascii="Times New Roman" w:hAnsi="Times New Roman" w:eastAsia="宋体" w:cs="Times New Roman"/>
              <w:vanish w:val="0"/>
              <w:sz w:val="28"/>
              <w:szCs w:val="28"/>
              <w:lang w:val="en-US" w:eastAsia="zh-CN"/>
            </w:rPr>
            <w:t>、生源地结构</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6</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4</w:t>
          </w:r>
          <w:r>
            <w:rPr>
              <w:rStyle w:val="21"/>
              <w:rFonts w:hint="default" w:ascii="Times New Roman" w:hAnsi="Times New Roman" w:eastAsia="宋体" w:cs="Times New Roman"/>
              <w:vanish w:val="0"/>
              <w:sz w:val="28"/>
              <w:szCs w:val="28"/>
              <w:lang w:val="en-US" w:eastAsia="zh-CN"/>
            </w:rPr>
            <w:t>、各专业人数</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6</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"_Toc15917" \h </w:instrText>
          </w:r>
          <w:r>
            <w:rPr>
              <w:rFonts w:hint="default" w:ascii="Times New Roman" w:hAnsi="Times New Roman" w:eastAsia="宋体" w:cs="Times New Roman"/>
              <w:b/>
              <w:bCs/>
              <w:sz w:val="28"/>
              <w:szCs w:val="28"/>
            </w:rPr>
            <w:fldChar w:fldCharType="separate"/>
          </w:r>
          <w:r>
            <w:rPr>
              <w:rStyle w:val="21"/>
              <w:rFonts w:hint="default" w:ascii="Times New Roman" w:hAnsi="Times New Roman" w:eastAsia="宋体" w:cs="Times New Roman"/>
              <w:b/>
              <w:bCs/>
              <w:vanish w:val="0"/>
              <w:sz w:val="28"/>
              <w:szCs w:val="28"/>
              <w:lang w:eastAsia="zh-CN"/>
            </w:rPr>
            <w:t>二、</w:t>
          </w:r>
          <w:r>
            <w:rPr>
              <w:rStyle w:val="21"/>
              <w:rFonts w:hint="default" w:ascii="Times New Roman" w:hAnsi="Times New Roman" w:eastAsia="宋体" w:cs="Times New Roman"/>
              <w:b/>
              <w:bCs/>
              <w:vanish w:val="0"/>
              <w:sz w:val="28"/>
              <w:szCs w:val="28"/>
              <w:lang w:val="en-US" w:eastAsia="zh-CN"/>
            </w:rPr>
            <w:t>202</w:t>
          </w:r>
          <w:r>
            <w:rPr>
              <w:rStyle w:val="21"/>
              <w:rFonts w:hint="eastAsia" w:ascii="Times New Roman" w:hAnsi="Times New Roman" w:eastAsia="宋体" w:cs="Times New Roman"/>
              <w:b/>
              <w:bCs/>
              <w:vanish w:val="0"/>
              <w:sz w:val="28"/>
              <w:szCs w:val="28"/>
              <w:lang w:val="en-US" w:eastAsia="zh-CN"/>
            </w:rPr>
            <w:t>2</w:t>
          </w:r>
          <w:r>
            <w:rPr>
              <w:rStyle w:val="21"/>
              <w:rFonts w:hint="default" w:ascii="Times New Roman" w:hAnsi="Times New Roman" w:eastAsia="宋体" w:cs="Times New Roman"/>
              <w:b/>
              <w:bCs/>
              <w:vanish w:val="0"/>
              <w:sz w:val="28"/>
              <w:szCs w:val="28"/>
              <w:lang w:val="en-US" w:eastAsia="zh-CN"/>
            </w:rPr>
            <w:t>届毕业生就业情况</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7</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"_Toc29617"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1、</w:t>
          </w:r>
          <w:r>
            <w:rPr>
              <w:rStyle w:val="21"/>
              <w:rFonts w:hint="default" w:ascii="Times New Roman" w:hAnsi="Times New Roman" w:eastAsia="宋体" w:cs="Times New Roman"/>
              <w:vanish w:val="0"/>
              <w:sz w:val="28"/>
              <w:szCs w:val="28"/>
              <w:lang w:eastAsia="zh-CN"/>
            </w:rPr>
            <w:t>毕业生各专业就业率</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7</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"_Toc29617"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2、毕业生就业形式统计</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7</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"_Toc29617"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3、毕业生就业单位性质分析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8</w:t>
          </w:r>
        </w:p>
        <w:p>
          <w:pPr>
            <w:pStyle w:val="12"/>
            <w:tabs>
              <w:tab w:val="right" w:leader="dot" w:pos="8306"/>
              <w:tab w:val="clear" w:pos="8296"/>
            </w:tabs>
            <w:spacing w:line="360" w:lineRule="auto"/>
            <w:ind w:left="0" w:leftChars="0" w:firstLine="0" w:firstLineChars="0"/>
            <w:rPr>
              <w:rFonts w:hint="eastAsia"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4</w:t>
          </w:r>
          <w:r>
            <w:rPr>
              <w:rStyle w:val="21"/>
              <w:rFonts w:hint="default" w:ascii="Times New Roman" w:hAnsi="Times New Roman" w:eastAsia="宋体" w:cs="Times New Roman"/>
              <w:vanish w:val="0"/>
              <w:sz w:val="28"/>
              <w:szCs w:val="28"/>
              <w:lang w:val="en-US" w:eastAsia="zh-CN"/>
            </w:rPr>
            <w:t>、毕业生就业单位行业分析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9</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5</w:t>
          </w:r>
          <w:r>
            <w:rPr>
              <w:rStyle w:val="21"/>
              <w:rFonts w:hint="default" w:ascii="Times New Roman" w:hAnsi="Times New Roman" w:eastAsia="宋体" w:cs="Times New Roman"/>
              <w:vanish w:val="0"/>
              <w:sz w:val="28"/>
              <w:szCs w:val="28"/>
              <w:lang w:val="en-US" w:eastAsia="zh-CN"/>
            </w:rPr>
            <w:t>、毕业生地域流向</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10</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"_Toc15917"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lang w:val="en-US" w:eastAsia="zh-CN"/>
            </w:rPr>
            <w:t>6、毕业生继续深造情况</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10</w:t>
          </w:r>
        </w:p>
        <w:p>
          <w:pPr>
            <w:pStyle w:val="10"/>
            <w:tabs>
              <w:tab w:val="right" w:leader="dot" w:pos="8306"/>
            </w:tabs>
            <w:spacing w:line="360" w:lineRule="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"_Toc4262" \h </w:instrText>
          </w:r>
          <w:r>
            <w:rPr>
              <w:rFonts w:hint="default" w:ascii="Times New Roman" w:hAnsi="Times New Roman" w:eastAsia="宋体" w:cs="Times New Roman"/>
              <w:b/>
              <w:bCs/>
              <w:sz w:val="28"/>
              <w:szCs w:val="28"/>
            </w:rPr>
            <w:fldChar w:fldCharType="separate"/>
          </w:r>
          <w:r>
            <w:rPr>
              <w:rStyle w:val="21"/>
              <w:rFonts w:hint="default" w:ascii="Times New Roman" w:hAnsi="Times New Roman" w:eastAsia="宋体" w:cs="Times New Roman"/>
              <w:b/>
              <w:bCs/>
              <w:vanish w:val="0"/>
              <w:sz w:val="28"/>
              <w:szCs w:val="28"/>
              <w:lang w:eastAsia="zh-CN"/>
            </w:rPr>
            <w:t>三</w:t>
          </w:r>
          <w:r>
            <w:rPr>
              <w:rStyle w:val="21"/>
              <w:rFonts w:hint="default" w:ascii="Times New Roman" w:hAnsi="Times New Roman" w:eastAsia="宋体" w:cs="Times New Roman"/>
              <w:b/>
              <w:bCs/>
              <w:vanish w:val="0"/>
              <w:sz w:val="28"/>
              <w:szCs w:val="28"/>
            </w:rPr>
            <w:t>、</w:t>
          </w:r>
          <w:r>
            <w:rPr>
              <w:rStyle w:val="21"/>
              <w:rFonts w:hint="default" w:ascii="Times New Roman" w:hAnsi="Times New Roman" w:eastAsia="宋体" w:cs="Times New Roman"/>
              <w:b/>
              <w:bCs/>
              <w:vanish w:val="0"/>
              <w:sz w:val="28"/>
              <w:szCs w:val="28"/>
              <w:lang w:eastAsia="zh-CN"/>
            </w:rPr>
            <w:t>毕业生就业趋势变化</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11</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"_Toc24695"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lang w:val="en-US" w:eastAsia="zh-CN"/>
            </w:rPr>
            <w:t>1、</w:t>
          </w:r>
          <w:r>
            <w:rPr>
              <w:rStyle w:val="21"/>
              <w:rFonts w:hint="default" w:ascii="Times New Roman" w:hAnsi="Times New Roman" w:eastAsia="宋体" w:cs="Times New Roman"/>
              <w:vanish w:val="0"/>
              <w:sz w:val="28"/>
              <w:szCs w:val="28"/>
              <w:lang w:val="en-US" w:eastAsia="zh-CN"/>
            </w:rPr>
            <w:t>202</w:t>
          </w:r>
          <w:r>
            <w:rPr>
              <w:rStyle w:val="21"/>
              <w:rFonts w:hint="eastAsia" w:ascii="Times New Roman" w:hAnsi="Times New Roman" w:eastAsia="宋体" w:cs="Times New Roman"/>
              <w:vanish w:val="0"/>
              <w:sz w:val="28"/>
              <w:szCs w:val="28"/>
              <w:lang w:val="en-US" w:eastAsia="zh-CN"/>
            </w:rPr>
            <w:t>2</w:t>
          </w:r>
          <w:r>
            <w:rPr>
              <w:rStyle w:val="21"/>
              <w:rFonts w:hint="default" w:ascii="Times New Roman" w:hAnsi="Times New Roman" w:eastAsia="宋体" w:cs="Times New Roman"/>
              <w:vanish w:val="0"/>
              <w:sz w:val="28"/>
              <w:szCs w:val="28"/>
              <w:lang w:val="en-US" w:eastAsia="zh-CN"/>
            </w:rPr>
            <w:t>届与202</w:t>
          </w:r>
          <w:r>
            <w:rPr>
              <w:rStyle w:val="21"/>
              <w:rFonts w:hint="eastAsia" w:ascii="Times New Roman" w:hAnsi="Times New Roman" w:eastAsia="宋体" w:cs="Times New Roman"/>
              <w:vanish w:val="0"/>
              <w:sz w:val="28"/>
              <w:szCs w:val="28"/>
              <w:lang w:val="en-US" w:eastAsia="zh-CN"/>
            </w:rPr>
            <w:t>1</w:t>
          </w:r>
          <w:r>
            <w:rPr>
              <w:rStyle w:val="21"/>
              <w:rFonts w:hint="default" w:ascii="Times New Roman" w:hAnsi="Times New Roman" w:eastAsia="宋体" w:cs="Times New Roman"/>
              <w:vanish w:val="0"/>
              <w:sz w:val="28"/>
              <w:szCs w:val="28"/>
              <w:lang w:val="en-US" w:eastAsia="zh-CN"/>
            </w:rPr>
            <w:t>届毕业生各专业就业率对比分析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11</w:t>
          </w:r>
        </w:p>
        <w:p>
          <w:pPr>
            <w:pStyle w:val="7"/>
            <w:tabs>
              <w:tab w:val="right" w:leader="dot" w:pos="830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"_Toc28163"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sz w:val="28"/>
              <w:szCs w:val="28"/>
            </w:rPr>
            <w:t>、</w:t>
          </w:r>
          <w:r>
            <w:rPr>
              <w:rStyle w:val="21"/>
              <w:rFonts w:hint="default" w:ascii="Times New Roman" w:hAnsi="Times New Roman" w:eastAsia="宋体" w:cs="Times New Roman"/>
              <w:sz w:val="28"/>
              <w:szCs w:val="28"/>
              <w:lang w:val="en-US" w:eastAsia="zh-CN"/>
            </w:rPr>
            <w:t>202</w:t>
          </w:r>
          <w:r>
            <w:rPr>
              <w:rStyle w:val="21"/>
              <w:rFonts w:hint="eastAsia" w:ascii="Times New Roman" w:hAnsi="Times New Roman" w:eastAsia="宋体" w:cs="Times New Roman"/>
              <w:sz w:val="28"/>
              <w:szCs w:val="28"/>
              <w:lang w:val="en-US" w:eastAsia="zh-CN"/>
            </w:rPr>
            <w:t>2</w:t>
          </w:r>
          <w:r>
            <w:rPr>
              <w:rStyle w:val="21"/>
              <w:rFonts w:hint="default" w:ascii="Times New Roman" w:hAnsi="Times New Roman" w:eastAsia="宋体" w:cs="Times New Roman"/>
              <w:sz w:val="28"/>
              <w:szCs w:val="28"/>
              <w:lang w:val="en-US" w:eastAsia="zh-CN"/>
            </w:rPr>
            <w:t>届与202</w:t>
          </w:r>
          <w:r>
            <w:rPr>
              <w:rStyle w:val="21"/>
              <w:rFonts w:hint="eastAsia" w:ascii="Times New Roman" w:hAnsi="Times New Roman" w:eastAsia="宋体" w:cs="Times New Roman"/>
              <w:sz w:val="28"/>
              <w:szCs w:val="28"/>
              <w:lang w:val="en-US" w:eastAsia="zh-CN"/>
            </w:rPr>
            <w:t>1</w:t>
          </w:r>
          <w:r>
            <w:rPr>
              <w:rStyle w:val="21"/>
              <w:rFonts w:hint="default" w:ascii="Times New Roman" w:hAnsi="Times New Roman" w:eastAsia="宋体" w:cs="Times New Roman"/>
              <w:sz w:val="28"/>
              <w:szCs w:val="28"/>
              <w:lang w:val="en-US" w:eastAsia="zh-CN"/>
            </w:rPr>
            <w:t>届毕业生就业单位性质对比分析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12</w:t>
          </w:r>
        </w:p>
        <w:p>
          <w:pPr>
            <w:pStyle w:val="7"/>
            <w:tabs>
              <w:tab w:val="right" w:leader="dot" w:pos="830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"_Toc28163"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sz w:val="28"/>
              <w:szCs w:val="28"/>
            </w:rPr>
            <w:t>、</w:t>
          </w:r>
          <w:r>
            <w:rPr>
              <w:rStyle w:val="21"/>
              <w:rFonts w:hint="default" w:ascii="Times New Roman" w:hAnsi="Times New Roman" w:eastAsia="宋体" w:cs="Times New Roman"/>
              <w:sz w:val="28"/>
              <w:szCs w:val="28"/>
              <w:lang w:val="en-US" w:eastAsia="zh-CN"/>
            </w:rPr>
            <w:t>202</w:t>
          </w:r>
          <w:r>
            <w:rPr>
              <w:rStyle w:val="21"/>
              <w:rFonts w:hint="eastAsia" w:ascii="Times New Roman" w:hAnsi="Times New Roman" w:eastAsia="宋体" w:cs="Times New Roman"/>
              <w:sz w:val="28"/>
              <w:szCs w:val="28"/>
              <w:lang w:val="en-US" w:eastAsia="zh-CN"/>
            </w:rPr>
            <w:t>2</w:t>
          </w:r>
          <w:r>
            <w:rPr>
              <w:rStyle w:val="21"/>
              <w:rFonts w:hint="default" w:ascii="Times New Roman" w:hAnsi="Times New Roman" w:eastAsia="宋体" w:cs="Times New Roman"/>
              <w:sz w:val="28"/>
              <w:szCs w:val="28"/>
              <w:lang w:val="en-US" w:eastAsia="zh-CN"/>
            </w:rPr>
            <w:t>届与202</w:t>
          </w:r>
          <w:r>
            <w:rPr>
              <w:rStyle w:val="21"/>
              <w:rFonts w:hint="eastAsia" w:ascii="Times New Roman" w:hAnsi="Times New Roman" w:eastAsia="宋体" w:cs="Times New Roman"/>
              <w:sz w:val="28"/>
              <w:szCs w:val="28"/>
              <w:lang w:val="en-US" w:eastAsia="zh-CN"/>
            </w:rPr>
            <w:t>1</w:t>
          </w:r>
          <w:r>
            <w:rPr>
              <w:rStyle w:val="21"/>
              <w:rFonts w:hint="default" w:ascii="Times New Roman" w:hAnsi="Times New Roman" w:eastAsia="宋体" w:cs="Times New Roman"/>
              <w:sz w:val="28"/>
              <w:szCs w:val="28"/>
              <w:lang w:val="en-US" w:eastAsia="zh-CN"/>
            </w:rPr>
            <w:t>届毕业生就业单位行业对比分析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13</w:t>
          </w:r>
        </w:p>
        <w:p>
          <w:pPr>
            <w:pStyle w:val="7"/>
            <w:tabs>
              <w:tab w:val="right" w:leader="dot" w:pos="830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"_Toc28163"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sz w:val="28"/>
              <w:szCs w:val="28"/>
            </w:rPr>
            <w:t>、</w:t>
          </w:r>
          <w:r>
            <w:rPr>
              <w:rStyle w:val="21"/>
              <w:rFonts w:hint="default" w:ascii="Times New Roman" w:hAnsi="Times New Roman" w:eastAsia="宋体" w:cs="Times New Roman"/>
              <w:sz w:val="28"/>
              <w:szCs w:val="28"/>
              <w:lang w:val="en-US" w:eastAsia="zh-CN"/>
            </w:rPr>
            <w:t>202</w:t>
          </w:r>
          <w:r>
            <w:rPr>
              <w:rStyle w:val="21"/>
              <w:rFonts w:hint="eastAsia" w:ascii="Times New Roman" w:hAnsi="Times New Roman" w:eastAsia="宋体" w:cs="Times New Roman"/>
              <w:sz w:val="28"/>
              <w:szCs w:val="28"/>
              <w:lang w:val="en-US" w:eastAsia="zh-CN"/>
            </w:rPr>
            <w:t>2</w:t>
          </w:r>
          <w:r>
            <w:rPr>
              <w:rStyle w:val="21"/>
              <w:rFonts w:hint="default" w:ascii="Times New Roman" w:hAnsi="Times New Roman" w:eastAsia="宋体" w:cs="Times New Roman"/>
              <w:sz w:val="28"/>
              <w:szCs w:val="28"/>
              <w:lang w:val="en-US" w:eastAsia="zh-CN"/>
            </w:rPr>
            <w:t>届与202</w:t>
          </w:r>
          <w:r>
            <w:rPr>
              <w:rStyle w:val="21"/>
              <w:rFonts w:hint="eastAsia" w:ascii="Times New Roman" w:hAnsi="Times New Roman" w:eastAsia="宋体" w:cs="Times New Roman"/>
              <w:sz w:val="28"/>
              <w:szCs w:val="28"/>
              <w:lang w:val="en-US" w:eastAsia="zh-CN"/>
            </w:rPr>
            <w:t>1</w:t>
          </w:r>
          <w:r>
            <w:rPr>
              <w:rStyle w:val="21"/>
              <w:rFonts w:hint="default" w:ascii="Times New Roman" w:hAnsi="Times New Roman" w:eastAsia="宋体" w:cs="Times New Roman"/>
              <w:sz w:val="28"/>
              <w:szCs w:val="28"/>
              <w:lang w:val="en-US" w:eastAsia="zh-CN"/>
            </w:rPr>
            <w:t>届毕业生就业区域流向趋势变化分析</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13</w:t>
          </w:r>
        </w:p>
        <w:p>
          <w:pPr>
            <w:pStyle w:val="10"/>
            <w:tabs>
              <w:tab w:val="right" w:leader="dot" w:pos="8306"/>
            </w:tabs>
            <w:spacing w:line="360" w:lineRule="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"_Toc4262" \h </w:instrText>
          </w:r>
          <w:r>
            <w:rPr>
              <w:rFonts w:hint="default" w:ascii="Times New Roman" w:hAnsi="Times New Roman" w:eastAsia="宋体" w:cs="Times New Roman"/>
              <w:b/>
              <w:bCs/>
              <w:sz w:val="28"/>
              <w:szCs w:val="28"/>
            </w:rPr>
            <w:fldChar w:fldCharType="separate"/>
          </w:r>
          <w:r>
            <w:rPr>
              <w:rFonts w:hint="eastAsia" w:ascii="Times New Roman" w:hAnsi="Times New Roman" w:eastAsia="宋体" w:cs="Times New Roman"/>
              <w:b/>
              <w:bCs/>
              <w:sz w:val="28"/>
              <w:szCs w:val="28"/>
              <w:lang w:eastAsia="zh-CN"/>
            </w:rPr>
            <w:t>四</w:t>
          </w:r>
          <w:r>
            <w:rPr>
              <w:rStyle w:val="21"/>
              <w:rFonts w:hint="default" w:ascii="Times New Roman" w:hAnsi="Times New Roman" w:eastAsia="宋体" w:cs="Times New Roman"/>
              <w:b/>
              <w:bCs/>
              <w:vanish w:val="0"/>
              <w:sz w:val="28"/>
              <w:szCs w:val="28"/>
            </w:rPr>
            <w:t>、</w:t>
          </w:r>
          <w:r>
            <w:rPr>
              <w:rFonts w:hint="default" w:ascii="Times New Roman" w:hAnsi="Times New Roman" w:eastAsia="宋体" w:cs="Times New Roman"/>
              <w:b/>
              <w:bCs/>
              <w:sz w:val="28"/>
              <w:szCs w:val="28"/>
              <w:lang w:val="en-US" w:eastAsia="zh-CN"/>
            </w:rPr>
            <w:t>2021年</w:t>
          </w:r>
          <w:r>
            <w:rPr>
              <w:rFonts w:hint="default" w:ascii="Times New Roman" w:hAnsi="Times New Roman" w:eastAsia="宋体" w:cs="Times New Roman"/>
              <w:b/>
              <w:bCs/>
              <w:sz w:val="28"/>
              <w:szCs w:val="28"/>
              <w:lang w:eastAsia="zh-CN"/>
            </w:rPr>
            <w:t>就业创业工作评价</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14</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_Toc9908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（一）用人单位评价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14</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_Toc19412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1、用人单位对我院毕业生综合素质的评价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15</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_Toc19002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2、用人单位对我院就业创业工作的评价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15</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_Toc11831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（二）毕业生评价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16</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21"/>
              <w:rFonts w:hint="default" w:ascii="Times New Roman" w:hAnsi="Times New Roman" w:eastAsia="宋体" w:cs="Times New Roman"/>
              <w:color w:val="auto"/>
              <w:kern w:val="2"/>
              <w:sz w:val="28"/>
              <w:szCs w:val="28"/>
              <w:lang w:val="en-US" w:eastAsia="zh-CN" w:bidi="ar-SA"/>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_Toc15680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1、毕业生对用人单位的评价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16</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sz w:val="28"/>
              <w:szCs w:val="28"/>
              <w:lang w:val="en-US"/>
            </w:rPr>
          </w:pPr>
          <w:r>
            <w:rPr>
              <w:rStyle w:val="21"/>
              <w:rFonts w:hint="default" w:ascii="Times New Roman" w:hAnsi="Times New Roman" w:eastAsia="宋体" w:cs="Times New Roman"/>
              <w:color w:val="auto"/>
              <w:kern w:val="2"/>
              <w:sz w:val="28"/>
              <w:szCs w:val="28"/>
              <w:lang w:val="en-US" w:eastAsia="zh-CN" w:bidi="ar-SA"/>
            </w:rPr>
            <w:fldChar w:fldCharType="begin"/>
          </w:r>
          <w:r>
            <w:rPr>
              <w:rStyle w:val="21"/>
              <w:rFonts w:hint="default" w:ascii="Times New Roman" w:hAnsi="Times New Roman" w:eastAsia="宋体" w:cs="Times New Roman"/>
              <w:color w:val="auto"/>
              <w:kern w:val="2"/>
              <w:sz w:val="28"/>
              <w:szCs w:val="28"/>
              <w:lang w:val="en-US" w:eastAsia="zh-CN" w:bidi="ar-SA"/>
            </w:rPr>
            <w:instrText xml:space="preserve"> HYPERLINK \l _Toc24513 </w:instrText>
          </w:r>
          <w:r>
            <w:rPr>
              <w:rStyle w:val="21"/>
              <w:rFonts w:hint="default" w:ascii="Times New Roman" w:hAnsi="Times New Roman" w:eastAsia="宋体" w:cs="Times New Roman"/>
              <w:color w:val="auto"/>
              <w:kern w:val="2"/>
              <w:sz w:val="28"/>
              <w:szCs w:val="28"/>
              <w:lang w:val="en-US" w:eastAsia="zh-CN" w:bidi="ar-SA"/>
            </w:rPr>
            <w:fldChar w:fldCharType="separate"/>
          </w:r>
          <w:r>
            <w:rPr>
              <w:rStyle w:val="21"/>
              <w:rFonts w:hint="default" w:ascii="Times New Roman" w:hAnsi="Times New Roman" w:eastAsia="宋体" w:cs="Times New Roman"/>
              <w:color w:val="auto"/>
              <w:kern w:val="2"/>
              <w:sz w:val="28"/>
              <w:szCs w:val="28"/>
              <w:lang w:val="en-US" w:eastAsia="zh-CN" w:bidi="ar-SA"/>
            </w:rPr>
            <w:t>2、毕业生对学院就业创业工作的评价</w:t>
          </w:r>
          <w:r>
            <w:rPr>
              <w:rStyle w:val="21"/>
              <w:rFonts w:hint="default" w:ascii="Times New Roman" w:hAnsi="Times New Roman" w:eastAsia="宋体" w:cs="Times New Roman"/>
              <w:color w:val="auto"/>
              <w:kern w:val="2"/>
              <w:sz w:val="28"/>
              <w:szCs w:val="28"/>
              <w:lang w:val="en-US" w:eastAsia="zh-CN" w:bidi="ar-SA"/>
            </w:rPr>
            <w:tab/>
          </w:r>
          <w:r>
            <w:rPr>
              <w:rStyle w:val="21"/>
              <w:rFonts w:hint="default" w:ascii="Times New Roman" w:hAnsi="Times New Roman" w:eastAsia="宋体" w:cs="Times New Roman"/>
              <w:color w:val="auto"/>
              <w:kern w:val="2"/>
              <w:sz w:val="28"/>
              <w:szCs w:val="28"/>
              <w:lang w:val="en-US" w:eastAsia="zh-CN" w:bidi="ar-SA"/>
            </w:rPr>
            <w:fldChar w:fldCharType="end"/>
          </w:r>
          <w:r>
            <w:rPr>
              <w:rStyle w:val="21"/>
              <w:rFonts w:hint="eastAsia" w:ascii="Times New Roman" w:hAnsi="Times New Roman" w:eastAsia="宋体" w:cs="Times New Roman"/>
              <w:color w:val="auto"/>
              <w:kern w:val="2"/>
              <w:sz w:val="28"/>
              <w:szCs w:val="28"/>
              <w:lang w:val="en-US" w:eastAsia="zh-CN" w:bidi="ar-SA"/>
            </w:rPr>
            <w:t>16</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rPr>
            <w:fldChar w:fldCharType="begin"/>
          </w:r>
          <w:r>
            <w:rPr>
              <w:rFonts w:hint="default" w:ascii="Times New Roman" w:hAnsi="Times New Roman" w:eastAsia="宋体" w:cs="Times New Roman"/>
              <w:b/>
              <w:bCs/>
              <w:sz w:val="28"/>
              <w:szCs w:val="28"/>
            </w:rPr>
            <w:instrText xml:space="preserve"> HYPERLINK \l "_Toc6666" \h </w:instrText>
          </w:r>
          <w:r>
            <w:rPr>
              <w:rFonts w:hint="default" w:ascii="Times New Roman" w:hAnsi="Times New Roman" w:eastAsia="宋体" w:cs="Times New Roman"/>
              <w:b/>
              <w:bCs/>
              <w:sz w:val="28"/>
              <w:szCs w:val="28"/>
            </w:rPr>
            <w:fldChar w:fldCharType="separate"/>
          </w:r>
          <w:r>
            <w:rPr>
              <w:rFonts w:hint="default" w:ascii="Times New Roman" w:hAnsi="Times New Roman" w:eastAsia="宋体" w:cs="Times New Roman"/>
              <w:b/>
              <w:bCs/>
              <w:sz w:val="28"/>
              <w:szCs w:val="28"/>
              <w:lang w:eastAsia="zh-CN"/>
            </w:rPr>
            <w:t>五、毕业生就业创业工作举措</w:t>
          </w:r>
          <w:r>
            <w:rPr>
              <w:rStyle w:val="21"/>
              <w:rFonts w:hint="default" w:ascii="Times New Roman" w:hAnsi="Times New Roman" w:eastAsia="宋体" w:cs="Times New Roman"/>
              <w:b/>
              <w:bCs/>
              <w:sz w:val="28"/>
              <w:szCs w:val="28"/>
            </w:rPr>
            <w:tab/>
          </w:r>
          <w:r>
            <w:rPr>
              <w:rStyle w:val="21"/>
              <w:rFonts w:hint="default" w:ascii="Times New Roman" w:hAnsi="Times New Roman" w:eastAsia="宋体" w:cs="Times New Roman"/>
              <w:b/>
              <w:bCs/>
              <w:sz w:val="28"/>
              <w:szCs w:val="28"/>
            </w:rPr>
            <w:fldChar w:fldCharType="end"/>
          </w:r>
          <w:r>
            <w:rPr>
              <w:rStyle w:val="21"/>
              <w:rFonts w:hint="eastAsia" w:ascii="Times New Roman" w:hAnsi="Times New Roman" w:eastAsia="宋体" w:cs="Times New Roman"/>
              <w:b/>
              <w:bCs/>
              <w:sz w:val="28"/>
              <w:szCs w:val="28"/>
              <w:lang w:val="en-US" w:eastAsia="zh-CN"/>
            </w:rPr>
            <w:t>17</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"_Toc25646"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（一）建立健全就业创业工作机制</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17</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（二）构建完善的职业发展与就业创业教育体系</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18</w:t>
          </w:r>
        </w:p>
        <w:p>
          <w:pPr>
            <w:pStyle w:val="12"/>
            <w:tabs>
              <w:tab w:val="right" w:leader="dot" w:pos="8306"/>
              <w:tab w:val="clear" w:pos="8296"/>
            </w:tabs>
            <w:spacing w:line="360" w:lineRule="auto"/>
            <w:ind w:left="0" w:leftChars="0" w:firstLine="0" w:firstLineChars="0"/>
            <w:rPr>
              <w:rStyle w:val="21"/>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end"/>
          </w:r>
          <w:bookmarkStart w:id="2" w:name="_Toc2224_WPSOffice_Level1"/>
          <w:bookmarkEnd w:id="2"/>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default" w:ascii="Times New Roman" w:hAnsi="Times New Roman" w:eastAsia="宋体" w:cs="Times New Roman"/>
              <w:vanish w:val="0"/>
              <w:sz w:val="28"/>
              <w:szCs w:val="28"/>
              <w:lang w:eastAsia="zh-CN"/>
            </w:rPr>
            <w:t>三</w:t>
          </w:r>
          <w:r>
            <w:rPr>
              <w:rStyle w:val="21"/>
              <w:rFonts w:hint="default" w:ascii="Times New Roman" w:hAnsi="Times New Roman" w:eastAsia="宋体" w:cs="Times New Roman"/>
              <w:vanish w:val="0"/>
              <w:sz w:val="28"/>
              <w:szCs w:val="28"/>
            </w:rPr>
            <w:t>）</w:t>
          </w:r>
          <w:r>
            <w:rPr>
              <w:rStyle w:val="21"/>
              <w:rFonts w:hint="default" w:ascii="Times New Roman" w:hAnsi="Times New Roman" w:eastAsia="宋体" w:cs="Times New Roman"/>
              <w:vanish w:val="0"/>
              <w:sz w:val="28"/>
              <w:szCs w:val="28"/>
              <w:lang w:eastAsia="zh-CN"/>
            </w:rPr>
            <w:t>创新人才培养模式</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19</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四</w:t>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积极开拓就业市场</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19</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五</w:t>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搭平台及时发布就业信息</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20</w:t>
          </w:r>
        </w:p>
        <w:p>
          <w:pPr>
            <w:pStyle w:val="12"/>
            <w:tabs>
              <w:tab w:val="right" w:leader="dot" w:pos="8306"/>
              <w:tab w:val="clear" w:pos="8296"/>
            </w:tabs>
            <w:spacing w:line="360" w:lineRule="auto"/>
            <w:ind w:left="0" w:leftChars="0" w:firstLine="0" w:firstLineChars="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六</w:t>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优化就业创业指导和服务工作</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20</w:t>
          </w:r>
        </w:p>
        <w:p>
          <w:pPr>
            <w:pStyle w:val="12"/>
            <w:tabs>
              <w:tab w:val="right" w:leader="dot" w:pos="8306"/>
              <w:tab w:val="clear" w:pos="8296"/>
            </w:tabs>
            <w:spacing w:line="360" w:lineRule="auto"/>
            <w:ind w:left="0" w:leftChars="0" w:firstLine="0" w:firstLineChars="0"/>
            <w:rPr>
              <w:rStyle w:val="21"/>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"_Toc5666" \h </w:instrText>
          </w:r>
          <w:r>
            <w:rPr>
              <w:rFonts w:hint="default" w:ascii="Times New Roman" w:hAnsi="Times New Roman" w:eastAsia="宋体" w:cs="Times New Roman"/>
              <w:sz w:val="28"/>
              <w:szCs w:val="28"/>
            </w:rPr>
            <w:fldChar w:fldCharType="separate"/>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七</w:t>
          </w:r>
          <w:r>
            <w:rPr>
              <w:rStyle w:val="21"/>
              <w:rFonts w:hint="default" w:ascii="Times New Roman" w:hAnsi="Times New Roman" w:eastAsia="宋体" w:cs="Times New Roman"/>
              <w:vanish w:val="0"/>
              <w:sz w:val="28"/>
              <w:szCs w:val="28"/>
            </w:rPr>
            <w:t>）</w:t>
          </w:r>
          <w:r>
            <w:rPr>
              <w:rStyle w:val="21"/>
              <w:rFonts w:hint="eastAsia" w:ascii="Times New Roman" w:hAnsi="Times New Roman" w:eastAsia="宋体" w:cs="Times New Roman"/>
              <w:vanish w:val="0"/>
              <w:sz w:val="28"/>
              <w:szCs w:val="28"/>
              <w:lang w:eastAsia="zh-CN"/>
            </w:rPr>
            <w:t>实施学生就业状况动态监测</w:t>
          </w:r>
          <w:r>
            <w:rPr>
              <w:rStyle w:val="21"/>
              <w:rFonts w:hint="default" w:ascii="Times New Roman" w:hAnsi="Times New Roman" w:eastAsia="宋体" w:cs="Times New Roman"/>
              <w:sz w:val="28"/>
              <w:szCs w:val="28"/>
            </w:rPr>
            <w:tab/>
          </w:r>
          <w:r>
            <w:rPr>
              <w:rStyle w:val="21"/>
              <w:rFonts w:hint="default" w:ascii="Times New Roman" w:hAnsi="Times New Roman" w:eastAsia="宋体" w:cs="Times New Roman"/>
              <w:sz w:val="28"/>
              <w:szCs w:val="28"/>
            </w:rPr>
            <w:fldChar w:fldCharType="end"/>
          </w:r>
          <w:r>
            <w:rPr>
              <w:rStyle w:val="21"/>
              <w:rFonts w:hint="eastAsia" w:ascii="Times New Roman" w:hAnsi="Times New Roman" w:eastAsia="宋体" w:cs="Times New Roman"/>
              <w:sz w:val="28"/>
              <w:szCs w:val="28"/>
              <w:lang w:val="en-US" w:eastAsia="zh-CN"/>
            </w:rPr>
            <w:t>21</w:t>
          </w: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tabs>
              <w:tab w:val="left" w:pos="2572"/>
            </w:tabs>
            <w:bidi w:val="0"/>
            <w:jc w:val="left"/>
          </w:pPr>
        </w:p>
      </w:sdtContent>
    </w:sdt>
    <w:p>
      <w:pPr>
        <w:ind w:left="0" w:leftChars="0" w:right="0" w:rightChars="0" w:firstLine="0" w:firstLineChars="0"/>
        <w:jc w:val="center"/>
        <w:rPr>
          <w:rFonts w:hint="eastAsia" w:ascii="宋体" w:hAnsi="宋体" w:eastAsia="宋体" w:cs="宋体"/>
          <w:b/>
          <w:bCs/>
          <w:color w:val="000000"/>
          <w:kern w:val="0"/>
          <w:sz w:val="32"/>
          <w:szCs w:val="32"/>
          <w:shd w:val="clear" w:fill="FFFFFF"/>
        </w:rPr>
      </w:pPr>
    </w:p>
    <w:p>
      <w:pPr>
        <w:ind w:left="0" w:leftChars="0" w:right="0" w:rightChars="0" w:firstLine="0" w:firstLineChars="0"/>
        <w:jc w:val="center"/>
        <w:rPr>
          <w:rFonts w:hint="eastAsia" w:ascii="宋体" w:hAnsi="宋体" w:eastAsia="宋体" w:cs="宋体"/>
          <w:b/>
          <w:bCs/>
          <w:color w:val="000000"/>
          <w:kern w:val="0"/>
          <w:sz w:val="32"/>
          <w:szCs w:val="32"/>
          <w:shd w:val="clear" w:fill="FFFFFF"/>
        </w:rPr>
      </w:pPr>
    </w:p>
    <w:p>
      <w:pPr>
        <w:ind w:left="0" w:leftChars="0" w:right="0" w:rightChars="0" w:firstLine="0" w:firstLineChars="0"/>
        <w:jc w:val="center"/>
        <w:rPr>
          <w:rFonts w:hint="eastAsia" w:ascii="宋体" w:hAnsi="宋体" w:eastAsia="宋体" w:cs="宋体"/>
          <w:b/>
          <w:bCs/>
          <w:color w:val="000000"/>
          <w:kern w:val="0"/>
          <w:sz w:val="32"/>
          <w:szCs w:val="32"/>
          <w:shd w:val="clear" w:fill="FFFFFF"/>
        </w:rPr>
      </w:pPr>
    </w:p>
    <w:p>
      <w:pPr>
        <w:ind w:left="0" w:leftChars="0" w:right="0" w:rightChars="0" w:firstLine="0" w:firstLineChars="0"/>
        <w:jc w:val="center"/>
        <w:rPr>
          <w:rFonts w:hint="eastAsia" w:ascii="宋体" w:hAnsi="宋体" w:eastAsia="宋体" w:cs="宋体"/>
          <w:b/>
          <w:bCs/>
          <w:color w:val="000000"/>
          <w:kern w:val="0"/>
          <w:sz w:val="32"/>
          <w:szCs w:val="32"/>
          <w:shd w:val="clear" w:fill="FFFFFF"/>
        </w:rPr>
      </w:pPr>
    </w:p>
    <w:p>
      <w:pPr>
        <w:ind w:left="0" w:leftChars="0" w:right="0" w:rightChars="0" w:firstLine="0" w:firstLineChars="0"/>
        <w:jc w:val="center"/>
        <w:rPr>
          <w:rFonts w:hint="eastAsia" w:ascii="宋体" w:hAnsi="宋体" w:eastAsia="宋体" w:cs="宋体"/>
          <w:b/>
          <w:bCs/>
          <w:color w:val="000000"/>
          <w:kern w:val="0"/>
          <w:sz w:val="32"/>
          <w:szCs w:val="32"/>
          <w:shd w:val="clear" w:fill="FFFFFF"/>
        </w:rPr>
      </w:pPr>
    </w:p>
    <w:p>
      <w:pPr>
        <w:ind w:left="0" w:leftChars="0" w:right="0" w:rightChars="0" w:firstLine="0" w:firstLineChars="0"/>
        <w:jc w:val="center"/>
        <w:rPr>
          <w:rFonts w:hint="eastAsia" w:ascii="宋体" w:hAnsi="宋体" w:eastAsia="宋体" w:cs="宋体"/>
          <w:b/>
          <w:bCs/>
          <w:color w:val="000000"/>
          <w:kern w:val="0"/>
          <w:sz w:val="28"/>
          <w:szCs w:val="28"/>
          <w:highlight w:val="white"/>
        </w:rPr>
      </w:pPr>
      <w:r>
        <w:rPr>
          <w:rFonts w:hint="eastAsia" w:ascii="宋体" w:hAnsi="宋体" w:eastAsia="宋体" w:cs="宋体"/>
          <w:b/>
          <w:bCs/>
          <w:color w:val="000000"/>
          <w:kern w:val="0"/>
          <w:sz w:val="32"/>
          <w:szCs w:val="32"/>
          <w:shd w:val="clear" w:fill="FFFFFF"/>
        </w:rPr>
        <w:t>学院简介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sz w:val="28"/>
          <w:szCs w:val="28"/>
        </w:rPr>
      </w:pPr>
      <w:r>
        <w:rPr>
          <w:rFonts w:hint="eastAsia"/>
          <w:sz w:val="28"/>
          <w:szCs w:val="28"/>
        </w:rPr>
        <w:t>通信与电子工程学院现有电子信息工程、</w:t>
      </w:r>
      <w:r>
        <w:rPr>
          <w:sz w:val="28"/>
          <w:szCs w:val="28"/>
        </w:rPr>
        <w:t>电子信息科学与技术、</w:t>
      </w:r>
      <w:r>
        <w:rPr>
          <w:rFonts w:hint="eastAsia"/>
          <w:sz w:val="28"/>
          <w:szCs w:val="28"/>
        </w:rPr>
        <w:t>通信工程、电</w:t>
      </w:r>
      <w:r>
        <w:rPr>
          <w:sz w:val="28"/>
          <w:szCs w:val="28"/>
        </w:rPr>
        <w:t>气工程及其自动化</w:t>
      </w:r>
      <w:r>
        <w:rPr>
          <w:rFonts w:hint="eastAsia"/>
          <w:sz w:val="28"/>
          <w:szCs w:val="28"/>
        </w:rPr>
        <w:t>等四个本科专业</w:t>
      </w:r>
      <w:r>
        <w:rPr>
          <w:sz w:val="28"/>
          <w:szCs w:val="28"/>
        </w:rPr>
        <w:t>，</w:t>
      </w:r>
      <w:r>
        <w:rPr>
          <w:rFonts w:hint="eastAsia"/>
          <w:sz w:val="28"/>
          <w:szCs w:val="28"/>
        </w:rPr>
        <w:t>其中，电子信息工程、通信工程是湖南省一流本科专业建设点。学院拥有电子信息专业硕士学位点、信息与通信工程一级学科硕士学位点，是除长沙、湘潭、岳阳为数较少的几所高校之外，在湖南省其他地区唯一同时拥有电子信息领域专业学位点和科学学位点的高校。</w:t>
      </w:r>
    </w:p>
    <w:p>
      <w:pPr>
        <w:ind w:firstLine="552"/>
        <w:rPr>
          <w:sz w:val="28"/>
          <w:szCs w:val="28"/>
        </w:rPr>
      </w:pPr>
      <w:r>
        <w:rPr>
          <w:sz w:val="28"/>
          <w:szCs w:val="28"/>
        </w:rPr>
        <w:t>学院现有教职工3</w:t>
      </w:r>
      <w:r>
        <w:rPr>
          <w:rFonts w:hint="eastAsia"/>
          <w:sz w:val="28"/>
          <w:szCs w:val="28"/>
          <w:lang w:val="en-US" w:eastAsia="zh-CN"/>
        </w:rPr>
        <w:t>6</w:t>
      </w:r>
      <w:r>
        <w:rPr>
          <w:sz w:val="28"/>
          <w:szCs w:val="28"/>
        </w:rPr>
        <w:t>人，其中</w:t>
      </w:r>
      <w:r>
        <w:rPr>
          <w:rFonts w:hint="eastAsia"/>
          <w:sz w:val="28"/>
          <w:szCs w:val="28"/>
        </w:rPr>
        <w:t>高级职称15</w:t>
      </w:r>
      <w:r>
        <w:rPr>
          <w:sz w:val="28"/>
          <w:szCs w:val="28"/>
        </w:rPr>
        <w:t>人，</w:t>
      </w:r>
      <w:r>
        <w:rPr>
          <w:rFonts w:hint="eastAsia"/>
          <w:sz w:val="28"/>
          <w:szCs w:val="28"/>
        </w:rPr>
        <w:t>其中，</w:t>
      </w:r>
      <w:r>
        <w:rPr>
          <w:sz w:val="28"/>
          <w:szCs w:val="28"/>
        </w:rPr>
        <w:t>湖南省121人才工程1人、湖南省青年骨干教师4人、湖南省教学能手2人、湖南省“我最喜爱的青年教师”1人、湖南省“高校辅导员年度人物”1人。近年来，学院获得</w:t>
      </w:r>
      <w:r>
        <w:rPr>
          <w:rFonts w:hint="eastAsia"/>
          <w:sz w:val="28"/>
          <w:szCs w:val="28"/>
        </w:rPr>
        <w:t>湖南省和国家民委</w:t>
      </w:r>
      <w:r>
        <w:rPr>
          <w:sz w:val="28"/>
          <w:szCs w:val="28"/>
        </w:rPr>
        <w:t>教学成果奖5项。</w:t>
      </w:r>
      <w:r>
        <w:rPr>
          <w:rFonts w:hint="eastAsia"/>
          <w:sz w:val="28"/>
          <w:szCs w:val="28"/>
        </w:rPr>
        <w:t>教师科研能力强，近几年</w:t>
      </w:r>
      <w:r>
        <w:rPr>
          <w:sz w:val="28"/>
          <w:szCs w:val="28"/>
        </w:rPr>
        <w:t>主持</w:t>
      </w:r>
      <w:r>
        <w:rPr>
          <w:rFonts w:hint="eastAsia"/>
          <w:sz w:val="28"/>
          <w:szCs w:val="28"/>
        </w:rPr>
        <w:t>及完成</w:t>
      </w:r>
      <w:r>
        <w:rPr>
          <w:sz w:val="28"/>
          <w:szCs w:val="28"/>
        </w:rPr>
        <w:t>国家自然科学基金项目25项、省自然科学基金等省级科研项目70余项，科研总经费达1300余万元，在IEEE期刊、电子学报和通信学报等权威期刊上发表高水平论文200余篇。</w:t>
      </w:r>
    </w:p>
    <w:p>
      <w:pPr>
        <w:ind w:firstLine="552"/>
        <w:rPr>
          <w:sz w:val="28"/>
          <w:szCs w:val="28"/>
        </w:rPr>
      </w:pPr>
      <w:r>
        <w:rPr>
          <w:sz w:val="28"/>
          <w:szCs w:val="28"/>
        </w:rPr>
        <w:t>学院建有电子与通信技术、电气工程及其自动化、</w:t>
      </w:r>
      <w:r>
        <w:rPr>
          <w:rFonts w:hint="eastAsia"/>
          <w:sz w:val="28"/>
          <w:szCs w:val="28"/>
        </w:rPr>
        <w:t>智能信息与信号处理</w:t>
      </w:r>
      <w:r>
        <w:rPr>
          <w:sz w:val="28"/>
          <w:szCs w:val="28"/>
        </w:rPr>
        <w:t>三大实验室，拥有各类先进的仪器设备，总值达2600多万元。学院与中国联通、国家电网怀化供电公司、长沙达内软件有限公司等多个校外实习实训基地联合开展专业建设与人才培养工作。学院“电子信息类专业校企合作创新创业教育基地”为省级创新创业教育基地。</w:t>
      </w:r>
    </w:p>
    <w:p>
      <w:pPr>
        <w:ind w:firstLine="552"/>
        <w:rPr>
          <w:sz w:val="28"/>
          <w:szCs w:val="28"/>
        </w:rPr>
      </w:pPr>
      <w:r>
        <w:rPr>
          <w:sz w:val="28"/>
          <w:szCs w:val="28"/>
        </w:rPr>
        <w:t>学院</w:t>
      </w:r>
      <w:r>
        <w:rPr>
          <w:rFonts w:hint="eastAsia"/>
          <w:sz w:val="28"/>
          <w:szCs w:val="28"/>
        </w:rPr>
        <w:t>培养的</w:t>
      </w:r>
      <w:r>
        <w:rPr>
          <w:sz w:val="28"/>
          <w:szCs w:val="28"/>
        </w:rPr>
        <w:t>学生</w:t>
      </w:r>
      <w:r>
        <w:rPr>
          <w:rFonts w:hint="eastAsia"/>
          <w:sz w:val="28"/>
          <w:szCs w:val="28"/>
        </w:rPr>
        <w:t>动手能力强，</w:t>
      </w:r>
      <w:r>
        <w:rPr>
          <w:sz w:val="28"/>
          <w:szCs w:val="28"/>
        </w:rPr>
        <w:t>参加学科竞赛屡获佳绩，共获得国家级奖项100余项、省级奖项500余项。其中，学生</w:t>
      </w:r>
      <w:r>
        <w:rPr>
          <w:rFonts w:hint="eastAsia"/>
          <w:sz w:val="28"/>
          <w:szCs w:val="28"/>
        </w:rPr>
        <w:t>获得</w:t>
      </w:r>
      <w:r>
        <w:rPr>
          <w:sz w:val="28"/>
          <w:szCs w:val="28"/>
        </w:rPr>
        <w:t>“挑战杯”</w:t>
      </w:r>
      <w:r>
        <w:rPr>
          <w:rFonts w:hint="eastAsia"/>
          <w:sz w:val="28"/>
          <w:szCs w:val="28"/>
        </w:rPr>
        <w:t>科技作品</w:t>
      </w:r>
      <w:r>
        <w:rPr>
          <w:sz w:val="28"/>
          <w:szCs w:val="28"/>
        </w:rPr>
        <w:t>大赛</w:t>
      </w:r>
      <w:r>
        <w:rPr>
          <w:rFonts w:hint="eastAsia"/>
          <w:sz w:val="28"/>
          <w:szCs w:val="28"/>
        </w:rPr>
        <w:t>湖南</w:t>
      </w:r>
      <w:r>
        <w:rPr>
          <w:sz w:val="28"/>
          <w:szCs w:val="28"/>
        </w:rPr>
        <w:t>省一等奖、湖南省“创青春”大学生创业大赛银奖，</w:t>
      </w:r>
      <w:r>
        <w:rPr>
          <w:rFonts w:hint="eastAsia"/>
          <w:sz w:val="28"/>
          <w:szCs w:val="28"/>
        </w:rPr>
        <w:t>在</w:t>
      </w:r>
      <w:r>
        <w:rPr>
          <w:sz w:val="28"/>
          <w:szCs w:val="28"/>
        </w:rPr>
        <w:t>ACM国际大学生程序设计大赛亚洲区域赛中连续三年获得银奖，在湖南省大学生计算机程序设计大赛中连续四年获省一等奖；</w:t>
      </w:r>
      <w:r>
        <w:rPr>
          <w:rFonts w:hint="eastAsia"/>
          <w:sz w:val="28"/>
          <w:szCs w:val="28"/>
        </w:rPr>
        <w:t>以及在</w:t>
      </w:r>
      <w:r>
        <w:rPr>
          <w:sz w:val="28"/>
          <w:szCs w:val="28"/>
        </w:rPr>
        <w:t>全国大学生电子设计竞赛中获</w:t>
      </w:r>
      <w:r>
        <w:rPr>
          <w:rFonts w:hint="eastAsia"/>
          <w:sz w:val="28"/>
          <w:szCs w:val="28"/>
        </w:rPr>
        <w:t>得</w:t>
      </w:r>
      <w:r>
        <w:rPr>
          <w:sz w:val="28"/>
          <w:szCs w:val="28"/>
        </w:rPr>
        <w:t>全国二等奖和</w:t>
      </w:r>
      <w:r>
        <w:rPr>
          <w:rFonts w:hint="eastAsia"/>
          <w:sz w:val="28"/>
          <w:szCs w:val="28"/>
        </w:rPr>
        <w:t>湖南</w:t>
      </w:r>
      <w:r>
        <w:rPr>
          <w:sz w:val="28"/>
          <w:szCs w:val="28"/>
        </w:rPr>
        <w:t>省一等奖。</w:t>
      </w: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spacing w:before="0" w:after="0" w:line="240" w:lineRule="auto"/>
        <w:ind w:left="420" w:right="0" w:firstLine="0"/>
        <w:jc w:val="left"/>
        <w:rPr>
          <w:rFonts w:ascii="仿宋" w:hAnsi="仿宋" w:eastAsia="仿宋" w:cs="仿宋"/>
          <w:sz w:val="28"/>
          <w:szCs w:val="28"/>
          <w:lang w:val="en-US" w:eastAsia="zh-CN"/>
        </w:rPr>
      </w:pPr>
    </w:p>
    <w:p>
      <w:pPr>
        <w:pStyle w:val="3"/>
        <w:numPr>
          <w:ilvl w:val="0"/>
          <w:numId w:val="0"/>
        </w:numPr>
        <w:spacing w:before="0" w:after="0" w:line="360" w:lineRule="auto"/>
        <w:ind w:leftChars="0" w:right="0" w:rightChars="0"/>
        <w:rPr>
          <w:rFonts w:hint="default" w:ascii="Times New Roman" w:hAnsi="Times New Roman" w:eastAsia="宋体" w:cs="Times New Roman"/>
          <w:sz w:val="28"/>
          <w:szCs w:val="28"/>
          <w:lang w:eastAsia="zh-CN"/>
        </w:rPr>
        <w:sectPr>
          <w:footerReference r:id="rId3" w:type="default"/>
          <w:pgSz w:w="11906" w:h="16838"/>
          <w:pgMar w:top="1440" w:right="1800" w:bottom="1440" w:left="1800" w:header="0" w:footer="992" w:gutter="0"/>
          <w:pgNumType w:fmt="decimal" w:start="1"/>
          <w:cols w:space="720" w:num="1"/>
          <w:formProt w:val="0"/>
          <w:docGrid w:type="lines" w:linePitch="312" w:charSpace="0"/>
        </w:sectPr>
      </w:pPr>
      <w:bookmarkStart w:id="3" w:name="_Toc29945"/>
      <w:bookmarkStart w:id="4" w:name="_Toc32614"/>
      <w:bookmarkStart w:id="5" w:name="_Toc10724"/>
      <w:bookmarkStart w:id="6" w:name="_Toc15917"/>
      <w:bookmarkStart w:id="7" w:name="_Toc29026"/>
    </w:p>
    <w:p>
      <w:pPr>
        <w:pStyle w:val="3"/>
        <w:numPr>
          <w:ilvl w:val="0"/>
          <w:numId w:val="0"/>
        </w:numPr>
        <w:spacing w:before="0" w:after="0" w:line="360" w:lineRule="auto"/>
        <w:ind w:leftChars="0" w:right="0" w:rightChars="0" w:firstLine="562"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一、</w:t>
      </w:r>
      <w:r>
        <w:rPr>
          <w:rFonts w:hint="default" w:ascii="Times New Roman" w:hAnsi="Times New Roman" w:eastAsia="宋体" w:cs="Times New Roman"/>
          <w:sz w:val="28"/>
          <w:szCs w:val="28"/>
          <w:lang w:val="en-US" w:eastAsia="zh-CN"/>
        </w:rPr>
        <w:t>202</w:t>
      </w:r>
      <w:r>
        <w:rPr>
          <w:rFonts w:hint="eastAsia"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val="en-US" w:eastAsia="zh-CN"/>
        </w:rPr>
        <w:t>届</w:t>
      </w:r>
      <w:r>
        <w:rPr>
          <w:rFonts w:hint="default" w:ascii="Times New Roman" w:hAnsi="Times New Roman" w:eastAsia="宋体" w:cs="Times New Roman"/>
          <w:sz w:val="28"/>
          <w:szCs w:val="28"/>
        </w:rPr>
        <w:t>毕业生</w:t>
      </w:r>
      <w:bookmarkEnd w:id="3"/>
      <w:bookmarkEnd w:id="4"/>
      <w:bookmarkEnd w:id="5"/>
      <w:bookmarkEnd w:id="6"/>
      <w:bookmarkEnd w:id="7"/>
      <w:r>
        <w:rPr>
          <w:rFonts w:hint="default" w:ascii="Times New Roman" w:hAnsi="Times New Roman" w:eastAsia="宋体" w:cs="Times New Roman"/>
          <w:sz w:val="28"/>
          <w:szCs w:val="28"/>
          <w:lang w:eastAsia="zh-CN"/>
        </w:rPr>
        <w:t>基本情况</w:t>
      </w:r>
    </w:p>
    <w:p>
      <w:pPr>
        <w:spacing w:line="520" w:lineRule="exact"/>
        <w:ind w:left="0" w:right="0" w:firstLine="540"/>
        <w:rPr>
          <w:rFonts w:hint="default" w:ascii="Times New Roman" w:hAnsi="Times New Roman" w:eastAsia="宋体" w:cs="Times New Roman"/>
        </w:rPr>
      </w:pPr>
      <w:r>
        <w:rPr>
          <w:rFonts w:hint="default" w:ascii="Times New Roman" w:hAnsi="Times New Roman" w:eastAsia="宋体" w:cs="Times New Roman"/>
          <w:sz w:val="28"/>
          <w:szCs w:val="28"/>
        </w:rPr>
        <w:t>我院20</w:t>
      </w:r>
      <w:r>
        <w:rPr>
          <w:rFonts w:hint="default"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t>届毕业生共有</w:t>
      </w:r>
      <w:r>
        <w:rPr>
          <w:rFonts w:hint="eastAsia" w:ascii="Times New Roman" w:hAnsi="Times New Roman" w:eastAsia="宋体" w:cs="Times New Roman"/>
          <w:sz w:val="28"/>
          <w:szCs w:val="28"/>
          <w:lang w:val="en-US" w:eastAsia="zh-CN"/>
        </w:rPr>
        <w:t>288</w:t>
      </w:r>
      <w:r>
        <w:rPr>
          <w:rFonts w:hint="default" w:ascii="Times New Roman" w:hAnsi="Times New Roman" w:eastAsia="宋体" w:cs="Times New Roman"/>
          <w:sz w:val="28"/>
          <w:szCs w:val="28"/>
        </w:rPr>
        <w:t>人，涵盖通信工程、电气工程及其自动化</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电子信息工程、</w:t>
      </w:r>
      <w:r>
        <w:rPr>
          <w:rFonts w:hint="eastAsia" w:ascii="Times New Roman" w:hAnsi="Times New Roman" w:eastAsia="宋体" w:cs="Times New Roman"/>
          <w:sz w:val="28"/>
          <w:szCs w:val="28"/>
          <w:lang w:val="en-US" w:eastAsia="zh-CN"/>
        </w:rPr>
        <w:t>电子信息</w:t>
      </w:r>
      <w:r>
        <w:rPr>
          <w:rFonts w:hint="default" w:ascii="Times New Roman" w:hAnsi="Times New Roman" w:eastAsia="宋体" w:cs="Times New Roman"/>
          <w:sz w:val="28"/>
          <w:szCs w:val="28"/>
        </w:rPr>
        <w:t>科学与技术</w:t>
      </w:r>
      <w:r>
        <w:rPr>
          <w:rFonts w:hint="eastAsia"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个</w:t>
      </w:r>
      <w:r>
        <w:rPr>
          <w:rFonts w:hint="eastAsia" w:ascii="Times New Roman" w:hAnsi="Times New Roman" w:eastAsia="宋体" w:cs="Times New Roman"/>
          <w:sz w:val="28"/>
          <w:szCs w:val="28"/>
          <w:lang w:eastAsia="zh-CN"/>
        </w:rPr>
        <w:t>本科</w:t>
      </w:r>
      <w:r>
        <w:rPr>
          <w:rFonts w:hint="default" w:ascii="Times New Roman" w:hAnsi="Times New Roman" w:eastAsia="宋体" w:cs="Times New Roman"/>
          <w:sz w:val="28"/>
          <w:szCs w:val="28"/>
        </w:rPr>
        <w:t>专业。</w:t>
      </w:r>
    </w:p>
    <w:p>
      <w:pPr>
        <w:pStyle w:val="4"/>
        <w:spacing w:before="0" w:after="0" w:line="360" w:lineRule="auto"/>
        <w:ind w:firstLine="562" w:firstLineChars="200"/>
        <w:rPr>
          <w:rFonts w:hint="default" w:ascii="Times New Roman" w:hAnsi="Times New Roman" w:eastAsia="宋体" w:cs="Times New Roman"/>
          <w:szCs w:val="28"/>
        </w:rPr>
      </w:pPr>
      <w:bookmarkStart w:id="8" w:name="_Toc20159"/>
      <w:bookmarkStart w:id="9" w:name="_Toc7710"/>
      <w:bookmarkStart w:id="10" w:name="_Toc27972"/>
      <w:bookmarkStart w:id="11" w:name="_Toc20348"/>
      <w:bookmarkStart w:id="12" w:name="_Toc3399"/>
      <w:r>
        <w:rPr>
          <w:rFonts w:hint="default" w:ascii="Times New Roman" w:hAnsi="Times New Roman" w:eastAsia="宋体" w:cs="Times New Roman"/>
          <w:szCs w:val="28"/>
        </w:rPr>
        <w:t>1、性别构成</w:t>
      </w:r>
      <w:bookmarkEnd w:id="8"/>
      <w:bookmarkEnd w:id="9"/>
      <w:bookmarkEnd w:id="10"/>
      <w:bookmarkEnd w:id="11"/>
      <w:bookmarkEnd w:id="12"/>
    </w:p>
    <w:p>
      <w:pPr>
        <w:spacing w:line="520" w:lineRule="exact"/>
        <w:ind w:left="0" w:right="0" w:firstLine="540"/>
        <w:rPr>
          <w:rFonts w:hint="default" w:ascii="Times New Roman" w:hAnsi="Times New Roman" w:eastAsia="宋体" w:cs="Times New Roman"/>
        </w:rPr>
      </w:pPr>
      <w:r>
        <w:rPr>
          <w:rFonts w:hint="default" w:ascii="Times New Roman" w:hAnsi="Times New Roman" w:eastAsia="宋体" w:cs="Times New Roman"/>
          <w:sz w:val="28"/>
          <w:szCs w:val="28"/>
        </w:rPr>
        <w:t>男生</w:t>
      </w:r>
      <w:r>
        <w:rPr>
          <w:rFonts w:hint="eastAsia" w:ascii="Times New Roman" w:hAnsi="Times New Roman" w:eastAsia="宋体" w:cs="Times New Roman"/>
          <w:sz w:val="28"/>
          <w:szCs w:val="28"/>
          <w:lang w:val="en-US" w:eastAsia="zh-CN"/>
        </w:rPr>
        <w:t>216</w:t>
      </w:r>
      <w:r>
        <w:rPr>
          <w:rFonts w:hint="default" w:ascii="Times New Roman" w:hAnsi="Times New Roman" w:eastAsia="宋体" w:cs="Times New Roman"/>
          <w:sz w:val="28"/>
          <w:szCs w:val="28"/>
        </w:rPr>
        <w:t>人，占毕业生总人数的</w:t>
      </w:r>
      <w:r>
        <w:rPr>
          <w:rFonts w:hint="eastAsia" w:ascii="Times New Roman" w:hAnsi="Times New Roman" w:eastAsia="宋体" w:cs="Times New Roman"/>
          <w:sz w:val="28"/>
          <w:szCs w:val="28"/>
          <w:lang w:val="en-US" w:eastAsia="zh-CN"/>
        </w:rPr>
        <w:t>75</w:t>
      </w:r>
      <w:r>
        <w:rPr>
          <w:rFonts w:hint="default" w:ascii="Times New Roman" w:hAnsi="Times New Roman" w:eastAsia="宋体" w:cs="Times New Roman"/>
          <w:sz w:val="28"/>
          <w:szCs w:val="28"/>
        </w:rPr>
        <w:t>%；女生</w:t>
      </w:r>
      <w:r>
        <w:rPr>
          <w:rFonts w:hint="eastAsia" w:ascii="Times New Roman" w:hAnsi="Times New Roman" w:eastAsia="宋体" w:cs="Times New Roman"/>
          <w:sz w:val="28"/>
          <w:szCs w:val="28"/>
          <w:lang w:val="en-US" w:eastAsia="zh-CN"/>
        </w:rPr>
        <w:t>72</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25</w:t>
      </w:r>
      <w:r>
        <w:rPr>
          <w:rFonts w:hint="default" w:ascii="Times New Roman" w:hAnsi="Times New Roman" w:eastAsia="宋体" w:cs="Times New Roman"/>
          <w:sz w:val="28"/>
          <w:szCs w:val="28"/>
        </w:rPr>
        <w:t>%。男女比例为</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lang w:eastAsia="zh-CN"/>
        </w:rPr>
        <w:t>（图</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pStyle w:val="4"/>
        <w:spacing w:before="0" w:after="0" w:line="360" w:lineRule="auto"/>
        <w:jc w:val="center"/>
        <w:rPr>
          <w:rFonts w:hint="eastAsia" w:ascii="Times New Roman" w:hAnsi="Times New Roman" w:eastAsia="宋体" w:cs="Times New Roman"/>
          <w:lang w:eastAsia="zh-CN"/>
        </w:rPr>
      </w:pPr>
      <w:bookmarkStart w:id="13" w:name="_Toc21724"/>
      <w:r>
        <w:rPr>
          <w:rFonts w:hint="eastAsia" w:ascii="Times New Roman" w:hAnsi="Times New Roman" w:eastAsia="宋体" w:cs="Times New Roman"/>
          <w:lang w:eastAsia="zh-CN"/>
        </w:rPr>
        <w:drawing>
          <wp:inline distT="0" distB="0" distL="114300" distR="114300">
            <wp:extent cx="3450590" cy="2713355"/>
            <wp:effectExtent l="4445" t="4445" r="12065" b="63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4"/>
        <w:spacing w:before="0" w:after="0" w:line="360" w:lineRule="auto"/>
        <w:ind w:firstLine="562" w:firstLineChars="200"/>
        <w:jc w:val="both"/>
        <w:rPr>
          <w:rFonts w:hint="default" w:ascii="Times New Roman" w:hAnsi="Times New Roman" w:eastAsia="宋体" w:cs="Times New Roman"/>
          <w:b/>
          <w:color w:val="auto"/>
          <w:kern w:val="2"/>
          <w:sz w:val="28"/>
          <w:szCs w:val="28"/>
          <w:lang w:val="en-US" w:eastAsia="zh-CN" w:bidi="ar-SA"/>
        </w:rPr>
      </w:pPr>
      <w:r>
        <w:rPr>
          <w:rFonts w:hint="default" w:ascii="Times New Roman" w:hAnsi="Times New Roman" w:eastAsia="宋体" w:cs="Times New Roman"/>
          <w:b/>
          <w:color w:val="auto"/>
          <w:kern w:val="2"/>
          <w:sz w:val="28"/>
          <w:szCs w:val="28"/>
          <w:lang w:val="en-US" w:eastAsia="zh-CN" w:bidi="ar-SA"/>
        </w:rPr>
        <w:t>2、城乡生源分布</w:t>
      </w:r>
      <w:bookmarkEnd w:id="13"/>
    </w:p>
    <w:p>
      <w:pPr>
        <w:ind w:left="0" w:right="0" w:firstLine="560"/>
        <w:rPr>
          <w:rFonts w:hint="default" w:ascii="Times New Roman" w:hAnsi="Times New Roman" w:eastAsia="宋体" w:cs="Times New Roman"/>
        </w:rPr>
      </w:pPr>
      <w:r>
        <w:rPr>
          <w:rFonts w:hint="default" w:ascii="Times New Roman" w:hAnsi="Times New Roman" w:eastAsia="宋体" w:cs="Times New Roman"/>
          <w:sz w:val="28"/>
          <w:szCs w:val="28"/>
        </w:rPr>
        <w:t>城镇户口毕业生为</w:t>
      </w:r>
      <w:r>
        <w:rPr>
          <w:rFonts w:hint="eastAsia" w:ascii="Times New Roman" w:hAnsi="Times New Roman" w:eastAsia="宋体" w:cs="Times New Roman"/>
          <w:sz w:val="28"/>
          <w:szCs w:val="28"/>
          <w:lang w:val="en-US" w:eastAsia="zh-CN"/>
        </w:rPr>
        <w:t>100</w:t>
      </w:r>
      <w:r>
        <w:rPr>
          <w:rFonts w:hint="default" w:ascii="Times New Roman" w:hAnsi="Times New Roman" w:eastAsia="宋体" w:cs="Times New Roman"/>
          <w:sz w:val="28"/>
          <w:szCs w:val="28"/>
        </w:rPr>
        <w:t>人，占毕业生总人数的</w:t>
      </w:r>
      <w:r>
        <w:rPr>
          <w:rFonts w:hint="eastAsia" w:ascii="Times New Roman" w:hAnsi="Times New Roman" w:eastAsia="宋体" w:cs="Times New Roman"/>
          <w:sz w:val="28"/>
          <w:szCs w:val="28"/>
          <w:lang w:val="en-US" w:eastAsia="zh-CN"/>
        </w:rPr>
        <w:t>34.72</w:t>
      </w:r>
      <w:r>
        <w:rPr>
          <w:rFonts w:hint="default" w:ascii="Times New Roman" w:hAnsi="Times New Roman" w:eastAsia="宋体" w:cs="Times New Roman"/>
          <w:sz w:val="28"/>
          <w:szCs w:val="28"/>
        </w:rPr>
        <w:t>%；农村户口毕业生为</w:t>
      </w:r>
      <w:r>
        <w:rPr>
          <w:rFonts w:hint="eastAsia" w:ascii="Times New Roman" w:hAnsi="Times New Roman" w:eastAsia="宋体" w:cs="Times New Roman"/>
          <w:sz w:val="28"/>
          <w:szCs w:val="28"/>
          <w:lang w:val="en-US" w:eastAsia="zh-CN"/>
        </w:rPr>
        <w:t>188</w:t>
      </w:r>
      <w:r>
        <w:rPr>
          <w:rFonts w:hint="default" w:ascii="Times New Roman" w:hAnsi="Times New Roman" w:eastAsia="宋体" w:cs="Times New Roman"/>
          <w:sz w:val="28"/>
          <w:szCs w:val="28"/>
        </w:rPr>
        <w:t>人，占毕业生总人数的</w:t>
      </w:r>
      <w:r>
        <w:rPr>
          <w:rFonts w:hint="eastAsia" w:ascii="Times New Roman" w:hAnsi="Times New Roman" w:eastAsia="宋体" w:cs="Times New Roman"/>
          <w:sz w:val="28"/>
          <w:szCs w:val="28"/>
          <w:lang w:val="en-US" w:eastAsia="zh-CN"/>
        </w:rPr>
        <w:t>65.28</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（图</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bookmarkStart w:id="14" w:name="_Toc844"/>
    </w:p>
    <w:p>
      <w:pPr>
        <w:ind w:left="0" w:right="0" w:firstLine="560"/>
        <w:jc w:val="cente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3547745" cy="2516505"/>
            <wp:effectExtent l="4445" t="4445" r="10160" b="1270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4"/>
        <w:spacing w:before="0" w:after="0" w:line="360" w:lineRule="auto"/>
        <w:ind w:firstLine="562" w:firstLineChars="200"/>
        <w:jc w:val="both"/>
        <w:rPr>
          <w:rFonts w:hint="eastAsia" w:ascii="Times New Roman" w:hAnsi="Times New Roman" w:eastAsia="宋体" w:cs="Times New Roman"/>
          <w:b/>
          <w:color w:val="auto"/>
          <w:kern w:val="2"/>
          <w:sz w:val="28"/>
          <w:szCs w:val="28"/>
          <w:lang w:val="en-US" w:eastAsia="zh-CN" w:bidi="ar-SA"/>
        </w:rPr>
      </w:pPr>
      <w:bookmarkStart w:id="15" w:name="_Toc6882"/>
      <w:bookmarkStart w:id="16" w:name="_Toc3178"/>
      <w:bookmarkStart w:id="17" w:name="_Toc14937"/>
      <w:bookmarkStart w:id="18" w:name="_Toc2497"/>
      <w:r>
        <w:rPr>
          <w:rFonts w:hint="eastAsia" w:ascii="Times New Roman" w:hAnsi="Times New Roman" w:eastAsia="宋体" w:cs="Times New Roman"/>
          <w:b/>
          <w:color w:val="auto"/>
          <w:kern w:val="2"/>
          <w:sz w:val="28"/>
          <w:szCs w:val="28"/>
          <w:lang w:val="en-US" w:eastAsia="zh-CN" w:bidi="ar-SA"/>
        </w:rPr>
        <w:t>3、生源地结构</w:t>
      </w:r>
    </w:p>
    <w:p>
      <w:pPr>
        <w:ind w:left="0" w:right="0" w:firstLine="560"/>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根据表1可知，2022届毕业生生源结构湖南省生源人数最多，达225人，占总人数的78.13%，其余省份生源地人数如下所示。</w:t>
      </w:r>
    </w:p>
    <w:p>
      <w:pPr>
        <w:numPr>
          <w:ilvl w:val="0"/>
          <w:numId w:val="0"/>
        </w:numPr>
        <w:tabs>
          <w:tab w:val="left" w:pos="6451"/>
        </w:tabs>
        <w:ind w:leftChars="0" w:right="0" w:rightChars="0"/>
        <w:jc w:val="center"/>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表1 通信与电子工程学院2022届毕业生生源地分布</w:t>
      </w:r>
    </w:p>
    <w:tbl>
      <w:tblPr>
        <w:tblStyle w:val="14"/>
        <w:tblW w:w="7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1"/>
        <w:gridCol w:w="1365"/>
        <w:gridCol w:w="2402"/>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DBE5F1"/>
            <w:vAlign w:val="center"/>
          </w:tcPr>
          <w:p>
            <w:pPr>
              <w:jc w:val="center"/>
            </w:pPr>
            <w:r>
              <w:rPr>
                <w:rFonts w:hint="eastAsia"/>
              </w:rPr>
              <w:t>省份</w:t>
            </w:r>
          </w:p>
        </w:tc>
        <w:tc>
          <w:tcPr>
            <w:tcW w:w="1365" w:type="dxa"/>
            <w:tcBorders>
              <w:top w:val="single" w:color="auto" w:sz="4" w:space="0"/>
              <w:left w:val="single" w:color="auto" w:sz="4" w:space="0"/>
              <w:bottom w:val="single" w:color="auto" w:sz="4" w:space="0"/>
              <w:right w:val="single" w:color="auto" w:sz="4" w:space="0"/>
            </w:tcBorders>
            <w:shd w:val="clear" w:color="auto" w:fill="DBE5F1"/>
            <w:vAlign w:val="center"/>
          </w:tcPr>
          <w:p>
            <w:pPr>
              <w:jc w:val="center"/>
            </w:pPr>
            <w:r>
              <w:rPr>
                <w:rFonts w:hint="eastAsia"/>
              </w:rPr>
              <w:t>人数（人）</w:t>
            </w:r>
          </w:p>
        </w:tc>
        <w:tc>
          <w:tcPr>
            <w:tcW w:w="2402" w:type="dxa"/>
            <w:tcBorders>
              <w:top w:val="single" w:color="auto" w:sz="4" w:space="0"/>
              <w:left w:val="single" w:color="auto" w:sz="4" w:space="0"/>
              <w:bottom w:val="single" w:color="auto" w:sz="4" w:space="0"/>
              <w:right w:val="single" w:color="auto" w:sz="4" w:space="0"/>
            </w:tcBorders>
            <w:shd w:val="clear" w:color="auto" w:fill="DBE5F1"/>
            <w:vAlign w:val="center"/>
          </w:tcPr>
          <w:p>
            <w:pPr>
              <w:jc w:val="center"/>
            </w:pPr>
            <w:r>
              <w:rPr>
                <w:rFonts w:hint="eastAsia"/>
              </w:rPr>
              <w:t>省份</w:t>
            </w:r>
          </w:p>
        </w:tc>
        <w:tc>
          <w:tcPr>
            <w:tcW w:w="1375" w:type="dxa"/>
            <w:tcBorders>
              <w:top w:val="single" w:color="auto" w:sz="4" w:space="0"/>
              <w:left w:val="single" w:color="auto" w:sz="4" w:space="0"/>
              <w:bottom w:val="single" w:color="auto" w:sz="4" w:space="0"/>
              <w:right w:val="single" w:color="auto" w:sz="4" w:space="0"/>
            </w:tcBorders>
            <w:shd w:val="clear" w:color="auto" w:fill="DBE5F1"/>
            <w:vAlign w:val="center"/>
          </w:tcPr>
          <w:p>
            <w:pPr>
              <w:jc w:val="center"/>
            </w:pPr>
            <w:r>
              <w:rPr>
                <w:rFonts w:hint="eastAsia"/>
              </w:rPr>
              <w:t>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lang w:val="en-US" w:eastAsia="zh-CN"/>
              </w:rPr>
            </w:pPr>
            <w:r>
              <w:rPr>
                <w:rFonts w:hint="eastAsia"/>
              </w:rPr>
              <w:t>湖南省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225</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lang w:eastAsia="zh-CN"/>
              </w:rPr>
              <w:t>浙江</w:t>
            </w:r>
            <w:r>
              <w:rPr>
                <w:rFonts w:hint="eastAsia"/>
              </w:rPr>
              <w:t>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甘肃省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3</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广东省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贵州省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1</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广西省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lang w:eastAsia="zh-CN"/>
              </w:rPr>
              <w:t>山西省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0</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河南省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湖北省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3</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安徽省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吉林省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4</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云南省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宁夏自治区</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内蒙古自治区</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四川省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4</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新疆自治区</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rPr>
              <w:t>重庆市</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3</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pPr>
            <w:r>
              <w:rPr>
                <w:rFonts w:hint="eastAsia"/>
                <w:lang w:eastAsia="zh-CN"/>
              </w:rPr>
              <w:t>西藏自治区</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eastAsia"/>
                <w:lang w:eastAsia="zh-CN"/>
              </w:rPr>
            </w:pPr>
            <w:r>
              <w:rPr>
                <w:rFonts w:hint="eastAsia"/>
                <w:lang w:eastAsia="zh-CN"/>
              </w:rPr>
              <w:t>青海省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eastAsia"/>
                <w:lang w:eastAsia="zh-CN"/>
              </w:rPr>
            </w:pPr>
            <w:r>
              <w:rPr>
                <w:rFonts w:hint="eastAsia"/>
                <w:lang w:eastAsia="zh-CN"/>
              </w:rPr>
              <w:t>河北省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2851"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eastAsia"/>
                <w:lang w:eastAsia="zh-CN"/>
              </w:rPr>
            </w:pPr>
            <w:r>
              <w:rPr>
                <w:rFonts w:hint="eastAsia"/>
                <w:lang w:eastAsia="zh-CN"/>
              </w:rPr>
              <w:t>江苏省</w:t>
            </w:r>
          </w:p>
        </w:tc>
        <w:tc>
          <w:tcPr>
            <w:tcW w:w="136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1</w:t>
            </w:r>
          </w:p>
        </w:tc>
        <w:tc>
          <w:tcPr>
            <w:tcW w:w="2402"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eastAsia"/>
                <w:lang w:eastAsia="zh-CN"/>
              </w:rPr>
            </w:pPr>
            <w:r>
              <w:rPr>
                <w:rFonts w:hint="eastAsia"/>
                <w:lang w:eastAsia="zh-CN"/>
              </w:rPr>
              <w:t>辽宁省</w:t>
            </w:r>
          </w:p>
        </w:tc>
        <w:tc>
          <w:tcPr>
            <w:tcW w:w="1375" w:type="dxa"/>
            <w:tcBorders>
              <w:top w:val="single" w:color="auto" w:sz="4" w:space="0"/>
              <w:left w:val="single" w:color="auto" w:sz="4" w:space="0"/>
              <w:bottom w:val="single" w:color="auto" w:sz="4" w:space="0"/>
              <w:right w:val="single" w:color="auto" w:sz="4" w:space="0"/>
            </w:tcBorders>
            <w:shd w:val="clear" w:color="auto" w:fill="EAF1DD"/>
            <w:vAlign w:val="center"/>
          </w:tcPr>
          <w:p>
            <w:pPr>
              <w:jc w:val="center"/>
              <w:rPr>
                <w:rFonts w:hint="default"/>
                <w:lang w:val="en-US" w:eastAsia="zh-CN"/>
              </w:rPr>
            </w:pPr>
            <w:r>
              <w:rPr>
                <w:rFonts w:hint="eastAsia"/>
                <w:lang w:val="en-US" w:eastAsia="zh-CN"/>
              </w:rPr>
              <w:t>2</w:t>
            </w:r>
          </w:p>
        </w:tc>
      </w:tr>
    </w:tbl>
    <w:p>
      <w:pPr>
        <w:pStyle w:val="4"/>
        <w:spacing w:before="0" w:after="0" w:line="360" w:lineRule="auto"/>
        <w:ind w:firstLine="562" w:firstLineChars="200"/>
        <w:rPr>
          <w:rFonts w:hint="default" w:ascii="Times New Roman" w:hAnsi="Times New Roman" w:eastAsia="宋体" w:cs="Times New Roman"/>
          <w:szCs w:val="28"/>
          <w:lang w:eastAsia="zh-CN"/>
        </w:rPr>
      </w:pPr>
      <w:r>
        <w:rPr>
          <w:rFonts w:hint="eastAsia" w:ascii="Times New Roman" w:hAnsi="Times New Roman" w:eastAsia="宋体" w:cs="Times New Roman"/>
          <w:szCs w:val="28"/>
          <w:lang w:val="en-US" w:eastAsia="zh-CN"/>
        </w:rPr>
        <w:t>4</w:t>
      </w:r>
      <w:r>
        <w:rPr>
          <w:rFonts w:hint="default" w:ascii="Times New Roman" w:hAnsi="Times New Roman" w:eastAsia="宋体" w:cs="Times New Roman"/>
          <w:szCs w:val="28"/>
        </w:rPr>
        <w:t>、</w:t>
      </w:r>
      <w:bookmarkEnd w:id="14"/>
      <w:bookmarkEnd w:id="15"/>
      <w:bookmarkEnd w:id="16"/>
      <w:bookmarkEnd w:id="17"/>
      <w:bookmarkEnd w:id="18"/>
      <w:bookmarkStart w:id="19" w:name="_Toc19594"/>
      <w:bookmarkStart w:id="20" w:name="_Toc5141"/>
      <w:bookmarkStart w:id="21" w:name="_Toc31762"/>
      <w:bookmarkStart w:id="22" w:name="_Toc11835"/>
      <w:bookmarkStart w:id="23" w:name="_Toc9117"/>
      <w:r>
        <w:rPr>
          <w:rFonts w:hint="default" w:ascii="Times New Roman" w:hAnsi="Times New Roman" w:eastAsia="宋体" w:cs="Times New Roman"/>
        </w:rPr>
        <w:drawing>
          <wp:inline distT="0" distB="0" distL="0" distR="0">
            <wp:extent cx="14605" cy="14605"/>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default" w:ascii="Times New Roman" w:hAnsi="Times New Roman" w:eastAsia="宋体" w:cs="Times New Roman"/>
          <w:szCs w:val="28"/>
        </w:rPr>
        <w:t>各专业</w:t>
      </w:r>
      <w:bookmarkEnd w:id="19"/>
      <w:bookmarkEnd w:id="20"/>
      <w:bookmarkEnd w:id="21"/>
      <w:bookmarkEnd w:id="22"/>
      <w:bookmarkEnd w:id="23"/>
      <w:r>
        <w:rPr>
          <w:rFonts w:hint="default" w:ascii="Times New Roman" w:hAnsi="Times New Roman" w:eastAsia="宋体" w:cs="Times New Roman"/>
          <w:szCs w:val="28"/>
          <w:lang w:eastAsia="zh-CN"/>
        </w:rPr>
        <w:t>人数</w:t>
      </w:r>
    </w:p>
    <w:p>
      <w:pPr>
        <w:ind w:left="0" w:right="0" w:firstLine="640"/>
        <w:rPr>
          <w:rFonts w:hint="default" w:ascii="Times New Roman" w:hAnsi="Times New Roman" w:eastAsia="宋体" w:cs="Times New Roman"/>
        </w:rPr>
      </w:pPr>
      <w:r>
        <w:rPr>
          <w:rFonts w:hint="default" w:ascii="Times New Roman" w:hAnsi="Times New Roman" w:eastAsia="宋体" w:cs="Times New Roman"/>
          <w:sz w:val="28"/>
          <w:szCs w:val="28"/>
        </w:rPr>
        <w:t>我院各专业</w:t>
      </w:r>
      <w:r>
        <w:rPr>
          <w:rFonts w:hint="default" w:ascii="Times New Roman" w:hAnsi="Times New Roman" w:eastAsia="宋体" w:cs="Times New Roman"/>
          <w:sz w:val="28"/>
          <w:szCs w:val="28"/>
          <w:lang w:val="en-US" w:eastAsia="zh-CN"/>
        </w:rPr>
        <w:t>202</w:t>
      </w:r>
      <w:r>
        <w:rPr>
          <w:rFonts w:hint="eastAsia"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t>届毕业生人数分别是：</w:t>
      </w:r>
      <w:r>
        <w:rPr>
          <w:rFonts w:hint="eastAsia" w:ascii="Times New Roman" w:hAnsi="Times New Roman" w:eastAsia="宋体" w:cs="Times New Roman"/>
          <w:sz w:val="28"/>
          <w:szCs w:val="28"/>
          <w:lang w:val="en-US" w:eastAsia="zh-CN"/>
        </w:rPr>
        <w:t>电子信息</w:t>
      </w:r>
      <w:r>
        <w:rPr>
          <w:rFonts w:hint="default" w:ascii="Times New Roman" w:hAnsi="Times New Roman" w:eastAsia="宋体" w:cs="Times New Roman"/>
          <w:sz w:val="28"/>
          <w:szCs w:val="28"/>
        </w:rPr>
        <w:t>科学与技术</w:t>
      </w:r>
      <w:r>
        <w:rPr>
          <w:rFonts w:hint="eastAsia" w:ascii="Times New Roman" w:hAnsi="Times New Roman" w:eastAsia="宋体" w:cs="Times New Roman"/>
          <w:sz w:val="28"/>
          <w:szCs w:val="28"/>
          <w:lang w:val="en-US" w:eastAsia="zh-CN"/>
        </w:rPr>
        <w:t>41</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14.24</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电子信息工程</w:t>
      </w:r>
      <w:r>
        <w:rPr>
          <w:rFonts w:hint="eastAsia" w:ascii="Times New Roman" w:hAnsi="Times New Roman" w:eastAsia="宋体" w:cs="Times New Roman"/>
          <w:sz w:val="28"/>
          <w:szCs w:val="28"/>
          <w:lang w:val="en-US" w:eastAsia="zh-CN"/>
        </w:rPr>
        <w:t>72</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25</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通信工程</w:t>
      </w:r>
      <w:r>
        <w:rPr>
          <w:rFonts w:hint="eastAsia" w:ascii="Times New Roman" w:hAnsi="Times New Roman" w:eastAsia="宋体" w:cs="Times New Roman"/>
          <w:sz w:val="28"/>
          <w:szCs w:val="28"/>
          <w:lang w:val="en-US" w:eastAsia="zh-CN"/>
        </w:rPr>
        <w:t>79</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27.43</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电气工程及其自动化</w:t>
      </w:r>
      <w:r>
        <w:rPr>
          <w:rFonts w:hint="eastAsia" w:ascii="Times New Roman" w:hAnsi="Times New Roman" w:eastAsia="宋体" w:cs="Times New Roman"/>
          <w:sz w:val="28"/>
          <w:szCs w:val="28"/>
          <w:lang w:val="en-US" w:eastAsia="zh-CN"/>
        </w:rPr>
        <w:t>96</w:t>
      </w:r>
      <w:r>
        <w:rPr>
          <w:rFonts w:hint="default" w:ascii="Times New Roman" w:hAnsi="Times New Roman" w:eastAsia="宋体" w:cs="Times New Roman"/>
          <w:sz w:val="28"/>
          <w:szCs w:val="28"/>
        </w:rPr>
        <w:t>人，占</w:t>
      </w:r>
      <w:r>
        <w:rPr>
          <w:rFonts w:hint="eastAsia" w:ascii="Times New Roman" w:hAnsi="Times New Roman" w:eastAsia="宋体" w:cs="Times New Roman"/>
          <w:sz w:val="28"/>
          <w:szCs w:val="28"/>
          <w:lang w:val="en-US" w:eastAsia="zh-CN"/>
        </w:rPr>
        <w:t>33.33</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（图</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tabs>
          <w:tab w:val="left" w:pos="6451"/>
        </w:tabs>
        <w:jc w:val="cente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4042410" cy="3039110"/>
            <wp:effectExtent l="4445" t="4445" r="10795" b="2349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keepNext w:val="0"/>
        <w:keepLines w:val="0"/>
        <w:pageBreakBefore w:val="0"/>
        <w:widowControl w:val="0"/>
        <w:numPr>
          <w:ilvl w:val="0"/>
          <w:numId w:val="0"/>
        </w:numPr>
        <w:tabs>
          <w:tab w:val="left" w:pos="6451"/>
        </w:tabs>
        <w:overflowPunct w:val="0"/>
        <w:bidi w:val="0"/>
        <w:snapToGrid/>
        <w:spacing w:line="360" w:lineRule="auto"/>
        <w:ind w:leftChars="0" w:right="0" w:rightChars="0" w:firstLine="562" w:firstLineChars="200"/>
        <w:jc w:val="left"/>
        <w:textAlignment w:val="auto"/>
        <w:outlineLvl w:val="0"/>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二、</w:t>
      </w:r>
      <w:r>
        <w:rPr>
          <w:rFonts w:hint="default" w:ascii="Times New Roman" w:hAnsi="Times New Roman" w:eastAsia="宋体" w:cs="Times New Roman"/>
          <w:b/>
          <w:bCs/>
          <w:color w:val="auto"/>
          <w:sz w:val="28"/>
          <w:szCs w:val="28"/>
          <w:lang w:val="en-US" w:eastAsia="zh-CN"/>
        </w:rPr>
        <w:t>202</w:t>
      </w:r>
      <w:r>
        <w:rPr>
          <w:rFonts w:hint="eastAsia" w:ascii="Times New Roman" w:hAnsi="Times New Roman" w:eastAsia="宋体" w:cs="Times New Roman"/>
          <w:b/>
          <w:bCs/>
          <w:color w:val="auto"/>
          <w:sz w:val="28"/>
          <w:szCs w:val="28"/>
          <w:lang w:val="en-US" w:eastAsia="zh-CN"/>
        </w:rPr>
        <w:t>2</w:t>
      </w:r>
      <w:r>
        <w:rPr>
          <w:rFonts w:hint="default" w:ascii="Times New Roman" w:hAnsi="Times New Roman" w:eastAsia="宋体" w:cs="Times New Roman"/>
          <w:b/>
          <w:bCs/>
          <w:color w:val="auto"/>
          <w:sz w:val="28"/>
          <w:szCs w:val="28"/>
          <w:lang w:val="en-US" w:eastAsia="zh-CN"/>
        </w:rPr>
        <w:t>届毕业生就业情况</w:t>
      </w:r>
    </w:p>
    <w:p>
      <w:pPr>
        <w:pStyle w:val="13"/>
        <w:spacing w:line="360" w:lineRule="auto"/>
        <w:ind w:left="0" w:right="0" w:firstLine="560"/>
        <w:jc w:val="both"/>
        <w:rPr>
          <w:rFonts w:hint="default" w:ascii="Times New Roman" w:hAnsi="Times New Roman" w:eastAsia="宋体" w:cs="Times New Roman"/>
          <w:kern w:val="2"/>
          <w:sz w:val="28"/>
          <w:szCs w:val="28"/>
          <w:lang w:val="en-US" w:eastAsia="zh-CN"/>
        </w:rPr>
      </w:pPr>
      <w:r>
        <w:rPr>
          <w:rFonts w:hint="default" w:ascii="Times New Roman" w:hAnsi="Times New Roman" w:eastAsia="宋体" w:cs="Times New Roman"/>
          <w:kern w:val="2"/>
          <w:sz w:val="28"/>
          <w:szCs w:val="28"/>
        </w:rPr>
        <w:t>截至</w:t>
      </w:r>
      <w:r>
        <w:rPr>
          <w:rFonts w:hint="default" w:ascii="Times New Roman" w:hAnsi="Times New Roman" w:eastAsia="宋体" w:cs="Times New Roman"/>
          <w:kern w:val="2"/>
          <w:sz w:val="28"/>
          <w:szCs w:val="28"/>
          <w:lang w:val="en-US" w:eastAsia="zh-CN"/>
        </w:rPr>
        <w:t>202</w:t>
      </w:r>
      <w:r>
        <w:rPr>
          <w:rFonts w:hint="eastAsia" w:ascii="Times New Roman" w:hAnsi="Times New Roman" w:eastAsia="宋体" w:cs="Times New Roman"/>
          <w:kern w:val="2"/>
          <w:sz w:val="28"/>
          <w:szCs w:val="28"/>
          <w:lang w:val="en-US" w:eastAsia="zh-CN"/>
        </w:rPr>
        <w:t>2</w:t>
      </w:r>
      <w:r>
        <w:rPr>
          <w:rFonts w:hint="default" w:ascii="Times New Roman" w:hAnsi="Times New Roman" w:eastAsia="宋体" w:cs="Times New Roman"/>
          <w:kern w:val="2"/>
          <w:sz w:val="28"/>
          <w:szCs w:val="28"/>
        </w:rPr>
        <w:t>年</w:t>
      </w:r>
      <w:r>
        <w:rPr>
          <w:rFonts w:hint="default" w:ascii="Times New Roman" w:hAnsi="Times New Roman" w:eastAsia="宋体" w:cs="Times New Roman"/>
          <w:kern w:val="2"/>
          <w:sz w:val="28"/>
          <w:szCs w:val="28"/>
          <w:lang w:val="en-US" w:eastAsia="zh-CN"/>
        </w:rPr>
        <w:t>12</w:t>
      </w:r>
      <w:r>
        <w:rPr>
          <w:rFonts w:hint="default" w:ascii="Times New Roman" w:hAnsi="Times New Roman" w:eastAsia="宋体" w:cs="Times New Roman"/>
          <w:kern w:val="2"/>
          <w:sz w:val="28"/>
          <w:szCs w:val="28"/>
        </w:rPr>
        <w:t>月</w:t>
      </w:r>
      <w:r>
        <w:rPr>
          <w:rFonts w:hint="eastAsia" w:ascii="Times New Roman" w:hAnsi="Times New Roman" w:eastAsia="宋体" w:cs="Times New Roman"/>
          <w:kern w:val="2"/>
          <w:sz w:val="28"/>
          <w:szCs w:val="28"/>
          <w:lang w:val="en-US" w:eastAsia="zh-CN"/>
        </w:rPr>
        <w:t>20</w:t>
      </w:r>
      <w:r>
        <w:rPr>
          <w:rFonts w:hint="default" w:ascii="Times New Roman" w:hAnsi="Times New Roman" w:eastAsia="宋体" w:cs="Times New Roman"/>
          <w:kern w:val="2"/>
          <w:sz w:val="28"/>
          <w:szCs w:val="28"/>
        </w:rPr>
        <w:t>日，我院20</w:t>
      </w:r>
      <w:r>
        <w:rPr>
          <w:rFonts w:hint="default" w:ascii="Times New Roman" w:hAnsi="Times New Roman" w:eastAsia="宋体" w:cs="Times New Roman"/>
          <w:kern w:val="2"/>
          <w:sz w:val="28"/>
          <w:szCs w:val="28"/>
          <w:lang w:val="en-US" w:eastAsia="zh-CN"/>
        </w:rPr>
        <w:t>2</w:t>
      </w:r>
      <w:r>
        <w:rPr>
          <w:rFonts w:hint="eastAsia" w:ascii="Times New Roman" w:hAnsi="Times New Roman" w:eastAsia="宋体" w:cs="Times New Roman"/>
          <w:kern w:val="2"/>
          <w:sz w:val="28"/>
          <w:szCs w:val="28"/>
          <w:lang w:val="en-US" w:eastAsia="zh-CN"/>
        </w:rPr>
        <w:t>2</w:t>
      </w:r>
      <w:r>
        <w:rPr>
          <w:rFonts w:hint="default" w:ascii="Times New Roman" w:hAnsi="Times New Roman" w:eastAsia="宋体" w:cs="Times New Roman"/>
          <w:kern w:val="2"/>
          <w:sz w:val="28"/>
          <w:szCs w:val="28"/>
        </w:rPr>
        <w:t>届毕业生</w:t>
      </w:r>
      <w:r>
        <w:rPr>
          <w:rFonts w:hint="default" w:ascii="Times New Roman" w:hAnsi="Times New Roman" w:eastAsia="宋体" w:cs="Times New Roman"/>
          <w:kern w:val="2"/>
          <w:sz w:val="28"/>
          <w:szCs w:val="28"/>
          <w:lang w:eastAsia="zh-CN"/>
        </w:rPr>
        <w:t>就业人数为2</w:t>
      </w:r>
      <w:r>
        <w:rPr>
          <w:rFonts w:hint="eastAsia" w:ascii="Times New Roman" w:hAnsi="Times New Roman" w:eastAsia="宋体" w:cs="Times New Roman"/>
          <w:kern w:val="2"/>
          <w:sz w:val="28"/>
          <w:szCs w:val="28"/>
          <w:lang w:val="en-US" w:eastAsia="zh-CN"/>
        </w:rPr>
        <w:t>88</w:t>
      </w:r>
      <w:r>
        <w:rPr>
          <w:rFonts w:hint="default" w:ascii="Times New Roman" w:hAnsi="Times New Roman" w:eastAsia="宋体" w:cs="Times New Roman"/>
          <w:kern w:val="2"/>
          <w:sz w:val="28"/>
          <w:szCs w:val="28"/>
          <w:lang w:val="en-US" w:eastAsia="zh-CN"/>
        </w:rPr>
        <w:t>人，</w:t>
      </w:r>
      <w:r>
        <w:rPr>
          <w:rFonts w:hint="default" w:ascii="Times New Roman" w:hAnsi="Times New Roman" w:eastAsia="宋体" w:cs="Times New Roman"/>
          <w:kern w:val="2"/>
          <w:sz w:val="28"/>
          <w:szCs w:val="28"/>
        </w:rPr>
        <w:t>就业率为</w:t>
      </w:r>
      <w:r>
        <w:rPr>
          <w:rFonts w:hint="eastAsia" w:ascii="Times New Roman" w:hAnsi="Times New Roman" w:eastAsia="宋体" w:cs="Times New Roman"/>
          <w:kern w:val="2"/>
          <w:sz w:val="28"/>
          <w:szCs w:val="28"/>
          <w:lang w:val="en-US" w:eastAsia="zh-CN"/>
        </w:rPr>
        <w:t>89.24</w:t>
      </w:r>
      <w:r>
        <w:rPr>
          <w:rFonts w:hint="default" w:ascii="Times New Roman" w:hAnsi="Times New Roman" w:eastAsia="宋体" w:cs="Times New Roman"/>
          <w:kern w:val="2"/>
          <w:sz w:val="28"/>
          <w:szCs w:val="28"/>
        </w:rPr>
        <w:t>%</w:t>
      </w:r>
      <w:r>
        <w:rPr>
          <w:rFonts w:hint="default" w:ascii="Times New Roman" w:hAnsi="Times New Roman" w:eastAsia="宋体" w:cs="Times New Roman"/>
          <w:kern w:val="2"/>
          <w:sz w:val="28"/>
          <w:szCs w:val="28"/>
          <w:lang w:eastAsia="zh-CN"/>
        </w:rPr>
        <w:t>，待就业人数</w:t>
      </w:r>
      <w:r>
        <w:rPr>
          <w:rFonts w:hint="eastAsia" w:ascii="Times New Roman" w:hAnsi="Times New Roman" w:eastAsia="宋体" w:cs="Times New Roman"/>
          <w:kern w:val="2"/>
          <w:sz w:val="28"/>
          <w:szCs w:val="28"/>
          <w:lang w:val="en-US" w:eastAsia="zh-CN"/>
        </w:rPr>
        <w:t>31</w:t>
      </w:r>
      <w:r>
        <w:rPr>
          <w:rFonts w:hint="default" w:ascii="Times New Roman" w:hAnsi="Times New Roman" w:eastAsia="宋体" w:cs="Times New Roman"/>
          <w:kern w:val="2"/>
          <w:sz w:val="28"/>
          <w:szCs w:val="28"/>
          <w:lang w:val="en-US" w:eastAsia="zh-CN"/>
        </w:rPr>
        <w:t>人，占</w:t>
      </w:r>
      <w:r>
        <w:rPr>
          <w:rFonts w:hint="eastAsia" w:ascii="Times New Roman" w:hAnsi="Times New Roman" w:eastAsia="宋体" w:cs="Times New Roman"/>
          <w:kern w:val="2"/>
          <w:sz w:val="28"/>
          <w:szCs w:val="28"/>
          <w:lang w:val="en-US" w:eastAsia="zh-CN"/>
        </w:rPr>
        <w:t>10.76</w:t>
      </w:r>
      <w:r>
        <w:rPr>
          <w:rFonts w:hint="default" w:ascii="Times New Roman" w:hAnsi="Times New Roman" w:eastAsia="宋体" w:cs="Times New Roman"/>
          <w:kern w:val="2"/>
          <w:sz w:val="28"/>
          <w:szCs w:val="28"/>
          <w:lang w:val="en-US" w:eastAsia="zh-CN"/>
        </w:rPr>
        <w:t>%。</w:t>
      </w:r>
    </w:p>
    <w:p>
      <w:pPr>
        <w:pStyle w:val="4"/>
        <w:numPr>
          <w:ilvl w:val="0"/>
          <w:numId w:val="0"/>
        </w:numPr>
        <w:spacing w:before="0" w:after="0" w:line="360" w:lineRule="auto"/>
        <w:ind w:leftChars="0" w:right="0" w:rightChars="0" w:firstLine="562"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1、</w:t>
      </w:r>
      <w:r>
        <w:rPr>
          <w:rFonts w:hint="default" w:ascii="Times New Roman" w:hAnsi="Times New Roman" w:eastAsia="宋体" w:cs="Times New Roman"/>
        </w:rPr>
        <w:t>毕业生各专业就业率</w:t>
      </w:r>
    </w:p>
    <w:p>
      <w:pPr>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560" w:firstLineChars="200"/>
        <w:textAlignment w:val="auto"/>
        <w:rPr>
          <w:rFonts w:hint="default"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我院2022届各专业毕业生就业率为：电子信息科学与技术专业就业率82.93%，电子信息工程专业就业率93.06%，通信工程专业就业率86.08%，电气工程及其自动化专业就业率91.67%（表2）。</w:t>
      </w:r>
    </w:p>
    <w:p>
      <w:pPr>
        <w:pStyle w:val="24"/>
        <w:widowControl/>
        <w:spacing w:line="360" w:lineRule="auto"/>
        <w:ind w:left="0" w:right="0"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cs="Times New Roman"/>
          <w:b/>
          <w:bCs/>
          <w:color w:val="auto"/>
          <w:kern w:val="2"/>
          <w:sz w:val="24"/>
          <w:szCs w:val="24"/>
          <w:lang w:val="en-US" w:eastAsia="zh-CN" w:bidi="ar-SA"/>
        </w:rPr>
        <w:t>通信与电子</w:t>
      </w:r>
      <w:r>
        <w:rPr>
          <w:rFonts w:hint="default" w:ascii="Times New Roman" w:hAnsi="Times New Roman" w:eastAsia="宋体" w:cs="Times New Roman"/>
          <w:b/>
          <w:bCs/>
          <w:color w:val="auto"/>
          <w:kern w:val="2"/>
          <w:sz w:val="24"/>
          <w:szCs w:val="24"/>
          <w:lang w:val="en-US" w:eastAsia="zh-CN" w:bidi="ar-SA"/>
        </w:rPr>
        <w:t>工程学院20</w:t>
      </w:r>
      <w:r>
        <w:rPr>
          <w:rFonts w:hint="eastAsia" w:ascii="Times New Roman" w:hAnsi="Times New Roman" w:cs="Times New Roman"/>
          <w:b/>
          <w:bCs/>
          <w:color w:val="auto"/>
          <w:kern w:val="2"/>
          <w:sz w:val="24"/>
          <w:szCs w:val="24"/>
          <w:lang w:val="en-US" w:eastAsia="zh-CN" w:bidi="ar-SA"/>
        </w:rPr>
        <w:t>22</w:t>
      </w:r>
      <w:r>
        <w:rPr>
          <w:rFonts w:hint="default" w:ascii="Times New Roman" w:hAnsi="Times New Roman" w:eastAsia="宋体" w:cs="Times New Roman"/>
          <w:b/>
          <w:bCs/>
          <w:color w:val="auto"/>
          <w:kern w:val="2"/>
          <w:sz w:val="24"/>
          <w:szCs w:val="24"/>
          <w:lang w:val="en-US" w:eastAsia="zh-CN" w:bidi="ar-SA"/>
        </w:rPr>
        <w:t>届毕业生各专业就业率</w:t>
      </w:r>
    </w:p>
    <w:tbl>
      <w:tblPr>
        <w:tblStyle w:val="14"/>
        <w:tblW w:w="8522" w:type="dxa"/>
        <w:tblInd w:w="0" w:type="dxa"/>
        <w:shd w:val="clear" w:color="auto" w:fill="FFFFFF" w:themeFill="background1"/>
        <w:tblLayout w:type="autofit"/>
        <w:tblCellMar>
          <w:top w:w="0" w:type="dxa"/>
          <w:left w:w="108" w:type="dxa"/>
          <w:bottom w:w="0" w:type="dxa"/>
          <w:right w:w="108" w:type="dxa"/>
        </w:tblCellMar>
      </w:tblPr>
      <w:tblGrid>
        <w:gridCol w:w="1182"/>
        <w:gridCol w:w="2853"/>
        <w:gridCol w:w="1344"/>
        <w:gridCol w:w="1718"/>
        <w:gridCol w:w="1425"/>
      </w:tblGrid>
      <w:tr>
        <w:tblPrEx>
          <w:shd w:val="clear" w:color="auto" w:fill="FFFFFF" w:themeFill="background1"/>
          <w:tblCellMar>
            <w:top w:w="0" w:type="dxa"/>
            <w:left w:w="108" w:type="dxa"/>
            <w:bottom w:w="0" w:type="dxa"/>
            <w:right w:w="108" w:type="dxa"/>
          </w:tblCellMar>
        </w:tblPrEx>
        <w:trPr>
          <w:trHeight w:val="485" w:hRule="atLeast"/>
        </w:trPr>
        <w:tc>
          <w:tcPr>
            <w:tcW w:w="1182"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学历层次</w:t>
            </w:r>
          </w:p>
        </w:tc>
        <w:tc>
          <w:tcPr>
            <w:tcW w:w="285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专业名称</w:t>
            </w:r>
          </w:p>
        </w:tc>
        <w:tc>
          <w:tcPr>
            <w:tcW w:w="1344"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总人数</w:t>
            </w:r>
          </w:p>
        </w:tc>
        <w:tc>
          <w:tcPr>
            <w:tcW w:w="1718"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就业人数</w:t>
            </w:r>
          </w:p>
        </w:tc>
        <w:tc>
          <w:tcPr>
            <w:tcW w:w="142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bidi="ar"/>
              </w:rPr>
              <w:t>就业率</w:t>
            </w:r>
            <w:r>
              <w:rPr>
                <w:rFonts w:hint="default" w:ascii="Times New Roman" w:hAnsi="Times New Roman" w:eastAsia="宋体" w:cs="Times New Roman"/>
                <w:b/>
                <w:kern w:val="0"/>
                <w:sz w:val="24"/>
                <w:szCs w:val="24"/>
                <w:lang w:bidi="ar"/>
              </w:rPr>
              <w:t>(%)</w:t>
            </w:r>
          </w:p>
        </w:tc>
      </w:tr>
      <w:tr>
        <w:tblPrEx>
          <w:shd w:val="clear" w:color="auto" w:fill="FFFFFF" w:themeFill="background1"/>
          <w:tblCellMar>
            <w:top w:w="0" w:type="dxa"/>
            <w:left w:w="108" w:type="dxa"/>
            <w:bottom w:w="0" w:type="dxa"/>
            <w:right w:w="108" w:type="dxa"/>
          </w:tblCellMar>
        </w:tblPrEx>
        <w:trPr>
          <w:trHeight w:val="590" w:hRule="atLeast"/>
        </w:trPr>
        <w:tc>
          <w:tcPr>
            <w:tcW w:w="1182"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widowControl/>
              <w:spacing w:line="48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bidi="ar"/>
              </w:rPr>
              <w:t>本</w:t>
            </w:r>
          </w:p>
          <w:p>
            <w:pPr>
              <w:widowControl/>
              <w:spacing w:line="480" w:lineRule="auto"/>
              <w:jc w:val="center"/>
              <w:rPr>
                <w:rFonts w:hint="default" w:ascii="Times New Roman" w:hAnsi="Times New Roman" w:eastAsia="宋体" w:cs="Times New Roman"/>
                <w:b/>
                <w:bCs/>
                <w:kern w:val="0"/>
                <w:sz w:val="24"/>
                <w:szCs w:val="24"/>
              </w:rPr>
            </w:pPr>
          </w:p>
          <w:p>
            <w:pPr>
              <w:widowControl/>
              <w:spacing w:line="48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bidi="ar"/>
              </w:rPr>
              <w:t>科</w:t>
            </w: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eastAsia="zh-CN"/>
              </w:rPr>
              <w:t>电子信息</w:t>
            </w:r>
            <w:r>
              <w:rPr>
                <w:rFonts w:hint="eastAsia" w:ascii="宋体" w:hAnsi="宋体" w:eastAsia="宋体" w:cs="宋体"/>
                <w:sz w:val="24"/>
                <w:szCs w:val="24"/>
                <w:lang w:val="en-US" w:eastAsia="zh-CN"/>
              </w:rPr>
              <w:t>科学与技术</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41</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82.93%</w:t>
            </w:r>
          </w:p>
        </w:tc>
      </w:tr>
      <w:tr>
        <w:tblPrEx>
          <w:shd w:val="clear" w:color="auto" w:fill="FFFFFF" w:themeFill="background1"/>
          <w:tblCellMar>
            <w:top w:w="0" w:type="dxa"/>
            <w:left w:w="108" w:type="dxa"/>
            <w:bottom w:w="0" w:type="dxa"/>
            <w:right w:w="108" w:type="dxa"/>
          </w:tblCellMar>
        </w:tblPrEx>
        <w:trPr>
          <w:trHeight w:val="590" w:hRule="atLeast"/>
        </w:trPr>
        <w:tc>
          <w:tcPr>
            <w:tcW w:w="1182" w:type="dxa"/>
            <w:vMerge w:val="continue"/>
            <w:tcBorders>
              <w:left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eastAsia" w:ascii="宋体" w:hAnsi="宋体" w:eastAsia="宋体" w:cs="宋体"/>
                <w:sz w:val="24"/>
                <w:szCs w:val="24"/>
                <w:lang w:val="en-US" w:eastAsia="zh-CN"/>
              </w:rPr>
              <w:t>电子信息</w:t>
            </w:r>
            <w:r>
              <w:rPr>
                <w:rFonts w:hint="default" w:ascii="宋体" w:hAnsi="宋体" w:eastAsia="宋体" w:cs="宋体"/>
                <w:sz w:val="24"/>
                <w:szCs w:val="24"/>
                <w:lang w:eastAsia="zh-CN"/>
              </w:rPr>
              <w:t>工程</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72</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67</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93.06%</w:t>
            </w:r>
          </w:p>
        </w:tc>
      </w:tr>
      <w:tr>
        <w:tblPrEx>
          <w:shd w:val="clear" w:color="auto" w:fill="FFFFFF" w:themeFill="background1"/>
          <w:tblCellMar>
            <w:top w:w="0" w:type="dxa"/>
            <w:left w:w="108" w:type="dxa"/>
            <w:bottom w:w="0" w:type="dxa"/>
            <w:right w:w="108" w:type="dxa"/>
          </w:tblCellMar>
        </w:tblPrEx>
        <w:trPr>
          <w:trHeight w:val="590" w:hRule="atLeast"/>
        </w:trPr>
        <w:tc>
          <w:tcPr>
            <w:tcW w:w="1182" w:type="dxa"/>
            <w:vMerge w:val="continue"/>
            <w:tcBorders>
              <w:left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通信工程</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79</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68</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86.08%</w:t>
            </w:r>
          </w:p>
        </w:tc>
      </w:tr>
      <w:tr>
        <w:tblPrEx>
          <w:shd w:val="clear" w:color="auto" w:fill="FFFFFF" w:themeFill="background1"/>
          <w:tblCellMar>
            <w:top w:w="0" w:type="dxa"/>
            <w:left w:w="108" w:type="dxa"/>
            <w:bottom w:w="0" w:type="dxa"/>
            <w:right w:w="108" w:type="dxa"/>
          </w:tblCellMar>
        </w:tblPrEx>
        <w:trPr>
          <w:trHeight w:val="590" w:hRule="atLeast"/>
        </w:trPr>
        <w:tc>
          <w:tcPr>
            <w:tcW w:w="1182" w:type="dxa"/>
            <w:vMerge w:val="continue"/>
            <w:tcBorders>
              <w:left w:val="single" w:color="000000" w:sz="4" w:space="0"/>
              <w:bottom w:val="single" w:color="000000" w:sz="4" w:space="0"/>
              <w:right w:val="single" w:color="000000" w:sz="4" w:space="0"/>
            </w:tcBorders>
            <w:shd w:val="clear" w:color="auto" w:fill="DAE3F3" w:themeFill="accent5" w:themeFillTint="32"/>
            <w:vAlign w:val="center"/>
          </w:tcPr>
          <w:p>
            <w:pPr>
              <w:spacing w:line="480" w:lineRule="auto"/>
              <w:jc w:val="center"/>
              <w:rPr>
                <w:rFonts w:hint="default" w:ascii="Times New Roman" w:hAnsi="Times New Roman" w:eastAsia="宋体" w:cs="Times New Roman"/>
                <w:sz w:val="24"/>
                <w:szCs w:val="24"/>
              </w:rPr>
            </w:pPr>
          </w:p>
        </w:tc>
        <w:tc>
          <w:tcPr>
            <w:tcW w:w="285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eastAsia="zh-CN"/>
              </w:rPr>
            </w:pPr>
            <w:r>
              <w:rPr>
                <w:rFonts w:hint="default" w:ascii="宋体" w:hAnsi="宋体" w:eastAsia="宋体" w:cs="宋体"/>
                <w:sz w:val="24"/>
                <w:szCs w:val="24"/>
                <w:lang w:eastAsia="zh-CN"/>
              </w:rPr>
              <w:t>电气工程及其自动化</w:t>
            </w:r>
          </w:p>
        </w:tc>
        <w:tc>
          <w:tcPr>
            <w:tcW w:w="1344"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96</w:t>
            </w:r>
          </w:p>
        </w:tc>
        <w:tc>
          <w:tcPr>
            <w:tcW w:w="171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88</w:t>
            </w:r>
          </w:p>
        </w:tc>
        <w:tc>
          <w:tcPr>
            <w:tcW w:w="14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91.67%</w:t>
            </w:r>
          </w:p>
        </w:tc>
      </w:tr>
    </w:tbl>
    <w:p>
      <w:pPr>
        <w:pStyle w:val="13"/>
        <w:numPr>
          <w:ilvl w:val="0"/>
          <w:numId w:val="0"/>
        </w:numPr>
        <w:spacing w:line="360" w:lineRule="auto"/>
        <w:ind w:leftChars="0" w:right="0" w:rightChars="0" w:firstLine="562" w:firstLineChars="200"/>
        <w:jc w:val="both"/>
        <w:rPr>
          <w:rFonts w:hint="eastAsia" w:ascii="Times New Roman" w:hAnsi="Times New Roman" w:eastAsia="宋体" w:cs="Times New Roman"/>
          <w:b/>
          <w:color w:val="auto"/>
          <w:kern w:val="2"/>
          <w:sz w:val="28"/>
          <w:szCs w:val="24"/>
          <w:lang w:val="en-US" w:eastAsia="zh-CN" w:bidi="ar-SA"/>
        </w:rPr>
      </w:pPr>
      <w:r>
        <w:rPr>
          <w:rFonts w:hint="eastAsia" w:ascii="Times New Roman" w:hAnsi="Times New Roman" w:eastAsia="宋体" w:cs="Times New Roman"/>
          <w:b/>
          <w:color w:val="auto"/>
          <w:kern w:val="2"/>
          <w:sz w:val="28"/>
          <w:szCs w:val="24"/>
          <w:lang w:val="en-US" w:eastAsia="zh-CN" w:bidi="ar-SA"/>
        </w:rPr>
        <w:t>2、毕业生就业形式统计</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firstLineChars="200"/>
        <w:jc w:val="both"/>
        <w:textAlignment w:val="auto"/>
        <w:rPr>
          <w:rFonts w:hint="eastAsia" w:ascii="Times New Roman" w:hAnsi="Times New Roman" w:eastAsia="宋体" w:cs="Times New Roman"/>
          <w:kern w:val="2"/>
          <w:sz w:val="28"/>
          <w:szCs w:val="28"/>
          <w:lang w:val="en-US" w:eastAsia="zh-CN"/>
        </w:rPr>
      </w:pPr>
      <w:r>
        <w:rPr>
          <w:rFonts w:hint="eastAsia" w:ascii="Times New Roman" w:hAnsi="Times New Roman" w:eastAsia="宋体" w:cs="Times New Roman"/>
          <w:kern w:val="2"/>
          <w:sz w:val="28"/>
          <w:szCs w:val="28"/>
          <w:shd w:val="clear"/>
          <w:lang w:val="en-US" w:eastAsia="zh-CN"/>
        </w:rPr>
        <w:t>我院2022届毕业生整体就业率为</w:t>
      </w:r>
      <w:r>
        <w:rPr>
          <w:rFonts w:hint="eastAsia" w:ascii="Times New Roman" w:hAnsi="Times New Roman" w:eastAsia="宋体" w:cs="Times New Roman"/>
          <w:kern w:val="2"/>
          <w:sz w:val="28"/>
          <w:szCs w:val="28"/>
          <w:lang w:val="en-US" w:eastAsia="zh-CN"/>
        </w:rPr>
        <w:t>89.24</w:t>
      </w:r>
      <w:r>
        <w:rPr>
          <w:rFonts w:hint="default" w:ascii="Times New Roman" w:hAnsi="Times New Roman" w:eastAsia="宋体" w:cs="Times New Roman"/>
          <w:kern w:val="2"/>
          <w:sz w:val="28"/>
          <w:szCs w:val="28"/>
        </w:rPr>
        <w:t>%</w:t>
      </w:r>
      <w:r>
        <w:rPr>
          <w:rFonts w:hint="eastAsia" w:ascii="Times New Roman" w:hAnsi="Times New Roman" w:eastAsia="宋体" w:cs="Times New Roman"/>
          <w:kern w:val="2"/>
          <w:sz w:val="28"/>
          <w:szCs w:val="28"/>
          <w:shd w:val="clear"/>
          <w:lang w:val="en-US" w:eastAsia="zh-CN"/>
        </w:rPr>
        <w:t>，其中</w:t>
      </w:r>
      <w:r>
        <w:rPr>
          <w:rFonts w:hint="eastAsia" w:ascii="Times New Roman" w:hAnsi="Times New Roman" w:eastAsia="宋体" w:cs="Times New Roman"/>
          <w:kern w:val="2"/>
          <w:sz w:val="28"/>
          <w:szCs w:val="28"/>
          <w:lang w:val="en-US" w:eastAsia="zh-CN"/>
        </w:rPr>
        <w:t>，签订就业协议人数比例为40.63%，签订劳动合同人数比例为12.15%，其他形式就业人数比例为22.57%，国内升学人数比例为13.89%，出国出境深造人数比例为0.35%（表2）。</w:t>
      </w:r>
    </w:p>
    <w:p>
      <w:pPr>
        <w:pStyle w:val="13"/>
        <w:spacing w:line="360" w:lineRule="auto"/>
        <w:ind w:right="0"/>
        <w:jc w:val="center"/>
        <w:rPr>
          <w:rFonts w:hint="default" w:ascii="Times New Roman" w:hAnsi="Times New Roman" w:eastAsia="宋体" w:cs="Times New Roman"/>
          <w:b/>
          <w:bCs/>
          <w:kern w:val="2"/>
          <w:sz w:val="24"/>
          <w:szCs w:val="24"/>
          <w:lang w:val="en-US" w:eastAsia="zh-CN"/>
        </w:rPr>
      </w:pPr>
      <w:r>
        <w:rPr>
          <w:rFonts w:hint="eastAsia" w:ascii="Times New Roman" w:hAnsi="Times New Roman" w:eastAsia="宋体" w:cs="Times New Roman"/>
          <w:b/>
          <w:bCs/>
          <w:kern w:val="2"/>
          <w:sz w:val="24"/>
          <w:szCs w:val="24"/>
          <w:lang w:val="en-US" w:eastAsia="zh-CN"/>
        </w:rPr>
        <w:t>表3  通信与电子工程学院2022届毕业生就业形式统计</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2442"/>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817"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就业情况</w:t>
            </w:r>
          </w:p>
        </w:tc>
        <w:tc>
          <w:tcPr>
            <w:tcW w:w="2442"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就业形式</w:t>
            </w:r>
          </w:p>
        </w:tc>
        <w:tc>
          <w:tcPr>
            <w:tcW w:w="2130"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人数</w:t>
            </w:r>
          </w:p>
        </w:tc>
        <w:tc>
          <w:tcPr>
            <w:tcW w:w="2130" w:type="dxa"/>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restart"/>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bookmarkStart w:id="24" w:name="_Toc31818"/>
            <w:bookmarkStart w:id="25" w:name="_Toc1401"/>
            <w:bookmarkStart w:id="26" w:name="_Toc7352"/>
            <w:bookmarkStart w:id="27" w:name="_Toc28163"/>
            <w:r>
              <w:rPr>
                <w:rFonts w:hint="eastAsia" w:ascii="宋体" w:hAnsi="宋体" w:eastAsia="宋体" w:cs="宋体"/>
                <w:b/>
                <w:bCs/>
                <w:sz w:val="24"/>
                <w:szCs w:val="24"/>
                <w:lang w:eastAsia="zh-CN"/>
              </w:rPr>
              <w:t>就业</w:t>
            </w: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签订就业协议就业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117</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40.63</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签订劳动合同就业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35</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12.15</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其他形式就业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65</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22.57</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国内升学</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40</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13.89</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b/>
                <w:bCs/>
                <w:sz w:val="24"/>
                <w:szCs w:val="24"/>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合计</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257</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89.24</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restart"/>
            <w:shd w:val="clear" w:color="auto" w:fill="DAE3F3" w:themeFill="accent5" w:themeFillTint="32"/>
            <w:vAlign w:val="center"/>
          </w:tcPr>
          <w:p>
            <w:pPr>
              <w:spacing w:line="24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未就业</w:t>
            </w: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待就业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2.77</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sz w:val="24"/>
                <w:szCs w:val="24"/>
                <w:lang w:eastAsia="zh-CN"/>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暂不就业</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23</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7.99</w:t>
            </w: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17" w:type="dxa"/>
            <w:vMerge w:val="continue"/>
            <w:shd w:val="clear" w:color="auto" w:fill="DAE3F3" w:themeFill="accent5" w:themeFillTint="32"/>
            <w:vAlign w:val="center"/>
          </w:tcPr>
          <w:p>
            <w:pPr>
              <w:spacing w:line="240" w:lineRule="auto"/>
              <w:jc w:val="center"/>
              <w:rPr>
                <w:rFonts w:hint="eastAsia" w:ascii="宋体" w:hAnsi="宋体" w:eastAsia="宋体" w:cs="宋体"/>
                <w:sz w:val="24"/>
                <w:szCs w:val="24"/>
                <w:lang w:eastAsia="zh-CN"/>
              </w:rPr>
            </w:pPr>
          </w:p>
        </w:tc>
        <w:tc>
          <w:tcPr>
            <w:tcW w:w="2442" w:type="dxa"/>
            <w:shd w:val="clear" w:color="auto" w:fill="E2EFDA" w:themeFill="accent6" w:themeFillTint="32"/>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合计</w:t>
            </w:r>
          </w:p>
        </w:tc>
        <w:tc>
          <w:tcPr>
            <w:tcW w:w="2130" w:type="dxa"/>
            <w:shd w:val="clear" w:color="auto" w:fill="E2EFDA" w:themeFill="accent6" w:themeFillTint="32"/>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w:t>
            </w:r>
          </w:p>
        </w:tc>
        <w:tc>
          <w:tcPr>
            <w:tcW w:w="2130" w:type="dxa"/>
            <w:shd w:val="clear" w:color="auto" w:fill="E2EFDA" w:themeFill="accent6" w:themeFillTint="32"/>
            <w:vAlign w:val="center"/>
          </w:tcPr>
          <w:p>
            <w:pPr>
              <w:spacing w:beforeLines="0" w:afterLines="0" w:line="240" w:lineRule="auto"/>
              <w:ind w:left="0" w:leftChars="0" w:right="0" w:rightChars="0"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sz w:val="24"/>
                <w:szCs w:val="24"/>
                <w:lang w:val="en-US" w:eastAsia="zh-CN"/>
              </w:rPr>
              <w:t>10.76</w:t>
            </w:r>
            <w:r>
              <w:rPr>
                <w:rFonts w:hint="default" w:ascii="Times New Roman" w:hAnsi="Times New Roman" w:eastAsia="宋体" w:cs="Times New Roman"/>
                <w:color w:val="000000"/>
                <w:sz w:val="24"/>
                <w:szCs w:val="24"/>
              </w:rPr>
              <w:t>%</w:t>
            </w:r>
          </w:p>
        </w:tc>
      </w:tr>
      <w:bookmarkEnd w:id="24"/>
      <w:bookmarkEnd w:id="25"/>
      <w:bookmarkEnd w:id="26"/>
      <w:bookmarkEnd w:id="27"/>
    </w:tbl>
    <w:p>
      <w:pPr>
        <w:pStyle w:val="4"/>
        <w:spacing w:before="0" w:after="0" w:line="360" w:lineRule="auto"/>
        <w:ind w:firstLine="562" w:firstLineChars="200"/>
        <w:rPr>
          <w:rFonts w:hint="eastAsia" w:ascii="Times New Roman" w:hAnsi="Times New Roman" w:eastAsia="宋体" w:cs="Times New Roman"/>
          <w:color w:val="FF0000"/>
          <w:szCs w:val="28"/>
          <w:lang w:eastAsia="zh-CN"/>
        </w:rPr>
      </w:pPr>
      <w:bookmarkStart w:id="28" w:name="_Toc4940"/>
      <w:bookmarkStart w:id="29" w:name="_Toc1392"/>
      <w:bookmarkStart w:id="30" w:name="_Toc31310"/>
      <w:bookmarkStart w:id="31" w:name="_Toc17160"/>
      <w:bookmarkStart w:id="32" w:name="_Toc14132"/>
      <w:r>
        <w:rPr>
          <w:rFonts w:hint="eastAsia" w:ascii="Times New Roman" w:hAnsi="Times New Roman" w:eastAsia="宋体" w:cs="Times New Roman"/>
          <w:szCs w:val="28"/>
          <w:lang w:val="en-US" w:eastAsia="zh-CN"/>
        </w:rPr>
        <w:t>3</w:t>
      </w:r>
      <w:r>
        <w:rPr>
          <w:rFonts w:hint="default" w:ascii="Times New Roman" w:hAnsi="Times New Roman" w:eastAsia="宋体" w:cs="Times New Roman"/>
          <w:szCs w:val="22"/>
        </w:rPr>
        <w:t>、</w:t>
      </w:r>
      <w:bookmarkEnd w:id="28"/>
      <w:bookmarkEnd w:id="29"/>
      <w:bookmarkEnd w:id="30"/>
      <w:bookmarkEnd w:id="31"/>
      <w:bookmarkEnd w:id="32"/>
      <w:r>
        <w:rPr>
          <w:rFonts w:hint="eastAsia" w:ascii="Times New Roman" w:hAnsi="Times New Roman" w:eastAsia="宋体" w:cs="Times New Roman"/>
          <w:szCs w:val="22"/>
          <w:lang w:eastAsia="zh-CN"/>
        </w:rPr>
        <w:t>毕业生就业单位性质分析</w:t>
      </w:r>
    </w:p>
    <w:p>
      <w:pPr>
        <w:ind w:right="0" w:firstLine="560" w:firstLineChars="200"/>
        <w:rPr>
          <w:rFonts w:hint="default" w:ascii="Times New Roman" w:hAnsi="Times New Roman" w:eastAsia="宋体" w:cs="Times New Roman"/>
        </w:rPr>
      </w:pPr>
      <w:r>
        <w:rPr>
          <w:rFonts w:hint="default" w:ascii="Times New Roman" w:hAnsi="Times New Roman" w:eastAsia="宋体" w:cs="Times New Roman"/>
          <w:sz w:val="28"/>
          <w:szCs w:val="28"/>
        </w:rPr>
        <w:t>我院20</w:t>
      </w:r>
      <w:r>
        <w:rPr>
          <w:rFonts w:hint="eastAsia" w:ascii="Times New Roman" w:hAnsi="Times New Roman" w:eastAsia="宋体" w:cs="Times New Roman"/>
          <w:sz w:val="28"/>
          <w:szCs w:val="28"/>
          <w:lang w:val="en-US" w:eastAsia="zh-CN"/>
        </w:rPr>
        <w:t>22</w:t>
      </w:r>
      <w:r>
        <w:rPr>
          <w:rFonts w:hint="default" w:ascii="Times New Roman" w:hAnsi="Times New Roman" w:eastAsia="宋体" w:cs="Times New Roman"/>
          <w:sz w:val="28"/>
          <w:szCs w:val="28"/>
        </w:rPr>
        <w:t>届毕业生就业单位性质分布中，最多的是</w:t>
      </w:r>
      <w:r>
        <w:rPr>
          <w:rFonts w:hint="eastAsia" w:ascii="Times New Roman" w:hAnsi="Times New Roman" w:eastAsia="宋体" w:cs="Times New Roman"/>
          <w:sz w:val="28"/>
          <w:szCs w:val="28"/>
          <w:lang w:eastAsia="zh-CN"/>
        </w:rPr>
        <w:t>其他企业</w:t>
      </w:r>
      <w:r>
        <w:rPr>
          <w:rFonts w:hint="default" w:ascii="Times New Roman" w:hAnsi="Times New Roman" w:eastAsia="宋体" w:cs="Times New Roman"/>
          <w:sz w:val="28"/>
          <w:szCs w:val="28"/>
        </w:rPr>
        <w:t>，占</w:t>
      </w:r>
      <w:r>
        <w:rPr>
          <w:rFonts w:hint="eastAsia" w:ascii="Times New Roman" w:hAnsi="Times New Roman" w:eastAsia="宋体" w:cs="Times New Roman"/>
          <w:sz w:val="28"/>
          <w:szCs w:val="28"/>
          <w:lang w:val="en-US" w:eastAsia="zh-CN"/>
        </w:rPr>
        <w:t>48.61</w:t>
      </w:r>
      <w:r>
        <w:rPr>
          <w:rFonts w:hint="default" w:ascii="Times New Roman" w:hAnsi="Times New Roman" w:eastAsia="宋体" w:cs="Times New Roman"/>
          <w:sz w:val="28"/>
          <w:szCs w:val="28"/>
        </w:rPr>
        <w:t>%；其次是</w:t>
      </w:r>
      <w:r>
        <w:rPr>
          <w:rFonts w:hint="eastAsia" w:ascii="Times New Roman" w:hAnsi="Times New Roman" w:eastAsia="宋体" w:cs="Times New Roman"/>
          <w:sz w:val="28"/>
          <w:szCs w:val="28"/>
          <w:lang w:eastAsia="zh-CN"/>
        </w:rPr>
        <w:t>国有企业</w:t>
      </w:r>
      <w:r>
        <w:rPr>
          <w:rFonts w:hint="default" w:ascii="Times New Roman" w:hAnsi="Times New Roman" w:eastAsia="宋体" w:cs="Times New Roman"/>
          <w:sz w:val="28"/>
          <w:szCs w:val="28"/>
        </w:rPr>
        <w:t>，占</w:t>
      </w:r>
      <w:r>
        <w:rPr>
          <w:rFonts w:hint="eastAsia" w:ascii="Times New Roman" w:hAnsi="Times New Roman" w:eastAsia="宋体" w:cs="Times New Roman"/>
          <w:sz w:val="28"/>
          <w:szCs w:val="28"/>
          <w:lang w:val="en-US" w:eastAsia="zh-CN"/>
        </w:rPr>
        <w:t>18.40</w:t>
      </w:r>
      <w:r>
        <w:rPr>
          <w:rFonts w:hint="default" w:ascii="Times New Roman" w:hAnsi="Times New Roman" w:eastAsia="宋体" w:cs="Times New Roman"/>
          <w:sz w:val="28"/>
          <w:szCs w:val="28"/>
        </w:rPr>
        <w:t>%；</w:t>
      </w:r>
      <w:r>
        <w:rPr>
          <w:rFonts w:hint="eastAsia" w:ascii="Times New Roman" w:hAnsi="Times New Roman" w:eastAsia="宋体" w:cs="Times New Roman"/>
          <w:sz w:val="28"/>
          <w:szCs w:val="28"/>
          <w:lang w:eastAsia="zh-CN"/>
        </w:rPr>
        <w:t>最后是升学、自由职业、部队、三资企业</w:t>
      </w:r>
      <w:r>
        <w:rPr>
          <w:rFonts w:hint="default" w:ascii="Times New Roman" w:hAnsi="Times New Roman" w:eastAsia="宋体" w:cs="Times New Roman"/>
          <w:sz w:val="28"/>
          <w:szCs w:val="28"/>
        </w:rPr>
        <w:t>等</w:t>
      </w:r>
      <w:r>
        <w:rPr>
          <w:rFonts w:hint="eastAsia" w:ascii="Times New Roman" w:hAnsi="Times New Roman" w:eastAsia="宋体" w:cs="Times New Roman"/>
          <w:sz w:val="28"/>
          <w:szCs w:val="28"/>
          <w:lang w:eastAsia="zh-CN"/>
        </w:rPr>
        <w:t>（表</w:t>
      </w:r>
      <w:r>
        <w:rPr>
          <w:rFonts w:hint="eastAsia"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p>
    <w:p>
      <w:pPr>
        <w:ind w:left="0" w:right="0" w:firstLine="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ab/>
      </w:r>
      <w:r>
        <w:rPr>
          <w:rFonts w:hint="default" w:ascii="Times New Roman" w:hAnsi="Times New Roman" w:eastAsia="宋体" w:cs="Times New Roman"/>
          <w:b/>
          <w:bCs/>
          <w:color w:val="auto"/>
          <w:kern w:val="2"/>
          <w:sz w:val="24"/>
          <w:szCs w:val="24"/>
          <w:lang w:val="en-US" w:eastAsia="zh-CN" w:bidi="ar-SA"/>
        </w:rPr>
        <w:tab/>
      </w: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4  通信与电子</w:t>
      </w:r>
      <w:r>
        <w:rPr>
          <w:rFonts w:hint="default" w:ascii="Times New Roman" w:hAnsi="Times New Roman" w:eastAsia="宋体" w:cs="Times New Roman"/>
          <w:b/>
          <w:bCs/>
          <w:color w:val="auto"/>
          <w:kern w:val="2"/>
          <w:sz w:val="24"/>
          <w:szCs w:val="24"/>
          <w:lang w:val="en-US" w:eastAsia="zh-CN" w:bidi="ar-SA"/>
        </w:rPr>
        <w:t>工程学院2</w:t>
      </w:r>
      <w:r>
        <w:rPr>
          <w:rFonts w:hint="eastAsia" w:ascii="Times New Roman" w:hAnsi="Times New Roman" w:eastAsia="宋体" w:cs="Times New Roman"/>
          <w:b/>
          <w:bCs/>
          <w:color w:val="auto"/>
          <w:kern w:val="2"/>
          <w:sz w:val="24"/>
          <w:szCs w:val="24"/>
          <w:lang w:val="en-US" w:eastAsia="zh-CN" w:bidi="ar-SA"/>
        </w:rPr>
        <w:t>022</w:t>
      </w:r>
      <w:r>
        <w:rPr>
          <w:rFonts w:hint="default" w:ascii="Times New Roman" w:hAnsi="Times New Roman" w:eastAsia="宋体" w:cs="Times New Roman"/>
          <w:b/>
          <w:bCs/>
          <w:color w:val="auto"/>
          <w:kern w:val="2"/>
          <w:sz w:val="24"/>
          <w:szCs w:val="24"/>
          <w:lang w:val="en-US" w:eastAsia="zh-CN" w:bidi="ar-SA"/>
        </w:rPr>
        <w:t>届毕业生就业单位性质分布</w:t>
      </w:r>
    </w:p>
    <w:tbl>
      <w:tblPr>
        <w:tblStyle w:val="14"/>
        <w:tblW w:w="8385" w:type="dxa"/>
        <w:tblInd w:w="-147" w:type="dxa"/>
        <w:tblLayout w:type="autofit"/>
        <w:tblCellMar>
          <w:top w:w="0" w:type="dxa"/>
          <w:left w:w="108" w:type="dxa"/>
          <w:bottom w:w="0" w:type="dxa"/>
          <w:right w:w="108" w:type="dxa"/>
        </w:tblCellMar>
      </w:tblPr>
      <w:tblGrid>
        <w:gridCol w:w="790"/>
        <w:gridCol w:w="2700"/>
        <w:gridCol w:w="2422"/>
        <w:gridCol w:w="2473"/>
      </w:tblGrid>
      <w:tr>
        <w:tblPrEx>
          <w:tblCellMar>
            <w:top w:w="0" w:type="dxa"/>
            <w:left w:w="108" w:type="dxa"/>
            <w:bottom w:w="0" w:type="dxa"/>
            <w:right w:w="108" w:type="dxa"/>
          </w:tblCellMar>
        </w:tblPrEx>
        <w:trPr>
          <w:trHeight w:val="567" w:hRule="exact"/>
        </w:trPr>
        <w:tc>
          <w:tcPr>
            <w:tcW w:w="79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层次</w:t>
            </w: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单位性质</w:t>
            </w:r>
          </w:p>
        </w:tc>
        <w:tc>
          <w:tcPr>
            <w:tcW w:w="2422"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人数</w:t>
            </w:r>
          </w:p>
        </w:tc>
        <w:tc>
          <w:tcPr>
            <w:tcW w:w="247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rPr>
            </w:pPr>
            <w:r>
              <w:rPr>
                <w:rFonts w:hint="default" w:ascii="Times New Roman" w:hAnsi="Times New Roman" w:eastAsia="宋体" w:cs="Times New Roman"/>
                <w:b/>
                <w:color w:val="000000"/>
                <w:kern w:val="0"/>
                <w:sz w:val="22"/>
                <w:szCs w:val="22"/>
                <w:lang w:bidi="ar"/>
              </w:rPr>
              <w:t>百分比（%）</w:t>
            </w:r>
          </w:p>
        </w:tc>
      </w:tr>
      <w:tr>
        <w:tblPrEx>
          <w:tblCellMar>
            <w:top w:w="0" w:type="dxa"/>
            <w:left w:w="108" w:type="dxa"/>
            <w:bottom w:w="0" w:type="dxa"/>
            <w:right w:w="108" w:type="dxa"/>
          </w:tblCellMar>
        </w:tblPrEx>
        <w:trPr>
          <w:trHeight w:val="567" w:hRule="exact"/>
        </w:trPr>
        <w:tc>
          <w:tcPr>
            <w:tcW w:w="790" w:type="dxa"/>
            <w:vMerge w:val="restart"/>
            <w:tcBorders>
              <w:top w:val="single" w:color="000000" w:sz="4" w:space="0"/>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本</w:t>
            </w:r>
          </w:p>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科</w:t>
            </w:r>
          </w:p>
          <w:p>
            <w:pPr>
              <w:spacing w:line="240" w:lineRule="auto"/>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8"/>
                <w:szCs w:val="28"/>
                <w:lang w:bidi="ar"/>
              </w:rPr>
              <w:t>生</w:t>
            </w: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部队</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5</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1.95%</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地方基层项目</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0.78%</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国家基层项目</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0.78</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国有企业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53</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20.62</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其他教学单位</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4</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1.56</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其他企业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140</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54.47</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其他事业单位</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1.17%</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三资企业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1.17%</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升学</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40</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15.56%</w:t>
            </w:r>
          </w:p>
        </w:tc>
      </w:tr>
      <w:tr>
        <w:tblPrEx>
          <w:tblCellMar>
            <w:top w:w="0" w:type="dxa"/>
            <w:left w:w="108" w:type="dxa"/>
            <w:bottom w:w="0" w:type="dxa"/>
            <w:right w:w="108" w:type="dxa"/>
          </w:tblCellMar>
        </w:tblPrEx>
        <w:trPr>
          <w:trHeight w:val="567" w:hRule="exact"/>
        </w:trPr>
        <w:tc>
          <w:tcPr>
            <w:tcW w:w="790" w:type="dxa"/>
            <w:vMerge w:val="restart"/>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出国、出境深造</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0.39%</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自由职业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4</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1.56%</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自主创业</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2700"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合计</w:t>
            </w:r>
          </w:p>
        </w:tc>
        <w:tc>
          <w:tcPr>
            <w:tcW w:w="2422"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257</w:t>
            </w:r>
          </w:p>
        </w:tc>
        <w:tc>
          <w:tcPr>
            <w:tcW w:w="247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100%</w:t>
            </w:r>
          </w:p>
        </w:tc>
      </w:tr>
    </w:tbl>
    <w:p>
      <w:pPr>
        <w:pStyle w:val="4"/>
        <w:numPr>
          <w:ilvl w:val="0"/>
          <w:numId w:val="0"/>
        </w:numPr>
        <w:spacing w:before="0" w:after="0" w:line="360" w:lineRule="auto"/>
        <w:ind w:leftChars="0" w:right="0" w:rightChars="0" w:firstLine="562" w:firstLineChars="200"/>
        <w:rPr>
          <w:rFonts w:hint="eastAsia" w:ascii="Times New Roman" w:hAnsi="Times New Roman" w:eastAsia="宋体" w:cs="Times New Roman"/>
          <w:szCs w:val="22"/>
          <w:lang w:eastAsia="zh-CN"/>
        </w:rPr>
      </w:pPr>
      <w:bookmarkStart w:id="33" w:name="_Toc17164"/>
      <w:bookmarkStart w:id="34" w:name="_Toc27753"/>
      <w:bookmarkStart w:id="35" w:name="_Toc7208"/>
      <w:bookmarkStart w:id="36" w:name="_Toc25688"/>
      <w:bookmarkStart w:id="37" w:name="_Toc23699"/>
      <w:r>
        <w:rPr>
          <w:rFonts w:hint="eastAsia" w:ascii="Times New Roman" w:hAnsi="Times New Roman" w:eastAsia="宋体" w:cs="Times New Roman"/>
          <w:szCs w:val="22"/>
          <w:lang w:val="en-US" w:eastAsia="zh-CN"/>
        </w:rPr>
        <w:t>4、</w:t>
      </w:r>
      <w:r>
        <w:rPr>
          <w:rFonts w:hint="eastAsia" w:ascii="Times New Roman" w:hAnsi="Times New Roman" w:eastAsia="宋体" w:cs="Times New Roman"/>
          <w:szCs w:val="22"/>
          <w:lang w:eastAsia="zh-CN"/>
        </w:rPr>
        <w:t>毕业生就业单位行业分析</w:t>
      </w:r>
    </w:p>
    <w:p>
      <w:pPr>
        <w:spacing w:line="360" w:lineRule="auto"/>
        <w:ind w:right="0" w:firstLine="560" w:firstLineChars="200"/>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按就业单位行业统计，我院2022届毕业生就业领域集中在</w:t>
      </w:r>
      <w:r>
        <w:rPr>
          <w:rFonts w:hint="default" w:ascii="Times New Roman" w:hAnsi="Times New Roman" w:eastAsia="宋体" w:cs="Times New Roman"/>
          <w:sz w:val="28"/>
          <w:szCs w:val="28"/>
          <w:lang w:val="en-US" w:eastAsia="zh-CN"/>
        </w:rPr>
        <w:t>信息传输、软件和信息技术服务业</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电力、热力、燃气及水生产</w:t>
      </w:r>
      <w:r>
        <w:rPr>
          <w:rFonts w:hint="eastAsia" w:ascii="Times New Roman" w:hAnsi="Times New Roman" w:eastAsia="宋体" w:cs="Times New Roman"/>
          <w:sz w:val="28"/>
          <w:szCs w:val="28"/>
          <w:lang w:val="en-US" w:eastAsia="zh-CN"/>
        </w:rPr>
        <w:t>、教育、制造业和建筑业，就业人数占88.96%，采矿业、公共管理、社会保障和社会组织、金融业、居民服务等行业人数占比较少，占就业人数的11.04%（表5）。</w:t>
      </w:r>
    </w:p>
    <w:p>
      <w:pPr>
        <w:spacing w:line="360" w:lineRule="auto"/>
        <w:ind w:right="0"/>
        <w:jc w:val="center"/>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表5  通信与电子工程学院2022届毕业生就业单位行业分析</w:t>
      </w:r>
    </w:p>
    <w:tbl>
      <w:tblPr>
        <w:tblStyle w:val="14"/>
        <w:tblW w:w="8385" w:type="dxa"/>
        <w:tblInd w:w="-147" w:type="dxa"/>
        <w:tblLayout w:type="autofit"/>
        <w:tblCellMar>
          <w:top w:w="0" w:type="dxa"/>
          <w:left w:w="108" w:type="dxa"/>
          <w:bottom w:w="0" w:type="dxa"/>
          <w:right w:w="108" w:type="dxa"/>
        </w:tblCellMar>
      </w:tblPr>
      <w:tblGrid>
        <w:gridCol w:w="790"/>
        <w:gridCol w:w="4061"/>
        <w:gridCol w:w="1680"/>
        <w:gridCol w:w="1854"/>
      </w:tblGrid>
      <w:tr>
        <w:tblPrEx>
          <w:tblCellMar>
            <w:top w:w="0" w:type="dxa"/>
            <w:left w:w="108" w:type="dxa"/>
            <w:bottom w:w="0" w:type="dxa"/>
            <w:right w:w="108" w:type="dxa"/>
          </w:tblCellMar>
        </w:tblPrEx>
        <w:trPr>
          <w:trHeight w:val="567" w:hRule="exact"/>
        </w:trPr>
        <w:tc>
          <w:tcPr>
            <w:tcW w:w="79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层次</w:t>
            </w: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kern w:val="0"/>
                <w:sz w:val="24"/>
                <w:lang w:eastAsia="zh-CN"/>
              </w:rPr>
            </w:pPr>
            <w:r>
              <w:rPr>
                <w:rFonts w:hint="default" w:ascii="Times New Roman" w:hAnsi="Times New Roman" w:eastAsia="宋体" w:cs="Times New Roman"/>
                <w:b/>
                <w:kern w:val="0"/>
                <w:sz w:val="24"/>
                <w:lang w:bidi="ar"/>
              </w:rPr>
              <w:t>单位</w:t>
            </w:r>
            <w:r>
              <w:rPr>
                <w:rFonts w:hint="eastAsia" w:ascii="Times New Roman" w:hAnsi="Times New Roman" w:eastAsia="宋体" w:cs="Times New Roman"/>
                <w:b/>
                <w:kern w:val="0"/>
                <w:sz w:val="24"/>
                <w:lang w:eastAsia="zh-CN" w:bidi="ar"/>
              </w:rPr>
              <w:t>行业</w:t>
            </w:r>
          </w:p>
        </w:tc>
        <w:tc>
          <w:tcPr>
            <w:tcW w:w="168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人数</w:t>
            </w:r>
          </w:p>
        </w:tc>
        <w:tc>
          <w:tcPr>
            <w:tcW w:w="1854"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rPr>
            </w:pPr>
            <w:r>
              <w:rPr>
                <w:rFonts w:hint="default" w:ascii="Times New Roman" w:hAnsi="Times New Roman" w:eastAsia="宋体" w:cs="Times New Roman"/>
                <w:b/>
                <w:color w:val="000000"/>
                <w:kern w:val="0"/>
                <w:sz w:val="22"/>
                <w:szCs w:val="22"/>
                <w:lang w:bidi="ar"/>
              </w:rPr>
              <w:t>百分比（%）</w:t>
            </w:r>
          </w:p>
        </w:tc>
      </w:tr>
      <w:tr>
        <w:tblPrEx>
          <w:tblCellMar>
            <w:top w:w="0" w:type="dxa"/>
            <w:left w:w="108" w:type="dxa"/>
            <w:bottom w:w="0" w:type="dxa"/>
            <w:right w:w="108" w:type="dxa"/>
          </w:tblCellMar>
        </w:tblPrEx>
        <w:trPr>
          <w:trHeight w:val="567" w:hRule="exact"/>
        </w:trPr>
        <w:tc>
          <w:tcPr>
            <w:tcW w:w="790" w:type="dxa"/>
            <w:vMerge w:val="restart"/>
            <w:tcBorders>
              <w:top w:val="single" w:color="000000" w:sz="4" w:space="0"/>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本</w:t>
            </w:r>
          </w:p>
          <w:p>
            <w:pPr>
              <w:spacing w:line="240" w:lineRule="auto"/>
              <w:jc w:val="center"/>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lang w:bidi="ar"/>
              </w:rPr>
              <w:t>科</w:t>
            </w:r>
          </w:p>
          <w:p>
            <w:pPr>
              <w:spacing w:line="240" w:lineRule="auto"/>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8"/>
                <w:szCs w:val="28"/>
                <w:lang w:bidi="ar"/>
              </w:rPr>
              <w:t>生</w:t>
            </w: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科学研究和技术服务业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4.67%</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电力、热力、燃气及水生产和供应业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23</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8.95%</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公共管理、社会保障和社会组织</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11</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4.28%</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建筑业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1.17</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交通运输、仓储和邮政业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0.78</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教育</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52</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20.23</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金融业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0.78%</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居民服务、修理和其他服务业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0.39%</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租赁和商务服务业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1.17%</w:t>
            </w:r>
          </w:p>
        </w:tc>
      </w:tr>
      <w:tr>
        <w:tblPrEx>
          <w:tblCellMar>
            <w:top w:w="0" w:type="dxa"/>
            <w:left w:w="108" w:type="dxa"/>
            <w:bottom w:w="0" w:type="dxa"/>
            <w:right w:w="108" w:type="dxa"/>
          </w:tblCellMar>
        </w:tblPrEx>
        <w:trPr>
          <w:trHeight w:val="567" w:hRule="exact"/>
        </w:trPr>
        <w:tc>
          <w:tcPr>
            <w:tcW w:w="790" w:type="dxa"/>
            <w:vMerge w:val="continue"/>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军队</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5</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1.95</w:t>
            </w:r>
            <w:r>
              <w:rPr>
                <w:rFonts w:hint="eastAsia" w:ascii="Times New Roman" w:hAnsi="Times New Roman" w:eastAsia="宋体" w:cs="Times New Roman"/>
                <w:color w:val="000000"/>
                <w:kern w:val="0"/>
                <w:sz w:val="24"/>
                <w:szCs w:val="24"/>
                <w:lang w:val="en-US" w:eastAsia="zh-CN"/>
              </w:rPr>
              <w:t>%</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农、林、牧、渔业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0.39%</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批发和零售业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17</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6.61%</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文化、体育和娱乐业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0.39%</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信息传输、软件和信息技术服务业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69</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26.85%</w:t>
            </w:r>
          </w:p>
        </w:tc>
      </w:tr>
      <w:tr>
        <w:tblPrEx>
          <w:tblCellMar>
            <w:top w:w="0" w:type="dxa"/>
            <w:left w:w="108" w:type="dxa"/>
            <w:bottom w:w="0" w:type="dxa"/>
            <w:right w:w="108" w:type="dxa"/>
          </w:tblCellMar>
        </w:tblPrEx>
        <w:trPr>
          <w:trHeight w:val="567" w:hRule="exact"/>
        </w:trPr>
        <w:tc>
          <w:tcPr>
            <w:tcW w:w="790" w:type="dxa"/>
            <w:tcBorders>
              <w:left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制造业</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55</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21.40%</w:t>
            </w:r>
          </w:p>
        </w:tc>
      </w:tr>
      <w:tr>
        <w:tblPrEx>
          <w:tblCellMar>
            <w:top w:w="0" w:type="dxa"/>
            <w:left w:w="108" w:type="dxa"/>
            <w:bottom w:w="0" w:type="dxa"/>
            <w:right w:w="108" w:type="dxa"/>
          </w:tblCellMar>
        </w:tblPrEx>
        <w:trPr>
          <w:trHeight w:val="567" w:hRule="exact"/>
        </w:trPr>
        <w:tc>
          <w:tcPr>
            <w:tcW w:w="790" w:type="dxa"/>
            <w:tcBorders>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sz w:val="20"/>
                <w:szCs w:val="20"/>
              </w:rPr>
            </w:pPr>
          </w:p>
        </w:tc>
        <w:tc>
          <w:tcPr>
            <w:tcW w:w="4061"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eastAsia" w:ascii="Times New Roman" w:hAnsi="Times New Roman" w:eastAsia="宋体" w:cs="Times New Roman"/>
                <w:color w:val="000000"/>
                <w:kern w:val="0"/>
                <w:sz w:val="24"/>
                <w:lang w:eastAsia="zh-CN"/>
              </w:rPr>
            </w:pPr>
            <w:r>
              <w:rPr>
                <w:rFonts w:hint="eastAsia" w:ascii="Times New Roman" w:hAnsi="Times New Roman" w:eastAsia="宋体" w:cs="Times New Roman"/>
                <w:color w:val="000000"/>
                <w:kern w:val="0"/>
                <w:sz w:val="24"/>
                <w:lang w:eastAsia="zh-CN"/>
              </w:rPr>
              <w:t>合计</w:t>
            </w:r>
          </w:p>
        </w:tc>
        <w:tc>
          <w:tcPr>
            <w:tcW w:w="16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257</w:t>
            </w:r>
          </w:p>
        </w:tc>
        <w:tc>
          <w:tcPr>
            <w:tcW w:w="1854"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100%</w:t>
            </w:r>
          </w:p>
        </w:tc>
      </w:tr>
    </w:tbl>
    <w:p>
      <w:pPr>
        <w:pStyle w:val="3"/>
        <w:shd w:val="clear"/>
        <w:spacing w:before="0" w:after="0" w:line="360" w:lineRule="auto"/>
        <w:ind w:firstLine="562" w:firstLineChars="200"/>
        <w:rPr>
          <w:rFonts w:hint="default" w:ascii="Times New Roman" w:hAnsi="Times New Roman" w:eastAsia="宋体" w:cs="Times New Roman"/>
          <w:shd w:val="clear" w:color="auto" w:fill="auto"/>
        </w:rPr>
      </w:pPr>
      <w:r>
        <w:rPr>
          <w:rFonts w:hint="eastAsia" w:ascii="Times New Roman" w:hAnsi="Times New Roman" w:eastAsia="宋体" w:cs="Times New Roman"/>
          <w:sz w:val="28"/>
          <w:szCs w:val="22"/>
          <w:shd w:val="clear" w:color="auto" w:fill="auto"/>
          <w:lang w:val="en-US" w:eastAsia="zh-CN"/>
        </w:rPr>
        <w:t>5、</w:t>
      </w:r>
      <w:r>
        <w:rPr>
          <w:rFonts w:hint="default" w:ascii="Times New Roman" w:hAnsi="Times New Roman" w:eastAsia="宋体" w:cs="Times New Roman"/>
          <w:sz w:val="28"/>
          <w:szCs w:val="22"/>
          <w:shd w:val="clear" w:color="auto" w:fill="auto"/>
        </w:rPr>
        <w:t>毕业生地域流向</w:t>
      </w:r>
      <w:bookmarkEnd w:id="33"/>
      <w:bookmarkEnd w:id="34"/>
      <w:bookmarkEnd w:id="35"/>
      <w:bookmarkEnd w:id="36"/>
      <w:bookmarkEnd w:id="37"/>
    </w:p>
    <w:p>
      <w:pPr>
        <w:pStyle w:val="13"/>
        <w:keepNext w:val="0"/>
        <w:keepLines w:val="0"/>
        <w:pageBreakBefore w:val="0"/>
        <w:widowControl w:val="0"/>
        <w:shd w:val="clear"/>
        <w:kinsoku/>
        <w:wordWrap/>
        <w:overflowPunct/>
        <w:topLinePunct w:val="0"/>
        <w:autoSpaceDE/>
        <w:autoSpaceDN/>
        <w:bidi w:val="0"/>
        <w:adjustRightInd/>
        <w:snapToGrid/>
        <w:spacing w:line="560" w:lineRule="exact"/>
        <w:ind w:left="0" w:right="0" w:firstLine="56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kern w:val="2"/>
          <w:sz w:val="28"/>
          <w:szCs w:val="28"/>
          <w:lang w:bidi="ar"/>
        </w:rPr>
        <w:t>我院</w:t>
      </w:r>
      <w:r>
        <w:rPr>
          <w:rFonts w:hint="default" w:ascii="Times New Roman" w:hAnsi="Times New Roman" w:eastAsia="宋体" w:cs="Times New Roman"/>
          <w:kern w:val="2"/>
          <w:sz w:val="28"/>
          <w:szCs w:val="28"/>
          <w:lang w:val="en-US" w:eastAsia="zh-CN" w:bidi="ar"/>
        </w:rPr>
        <w:t>202</w:t>
      </w:r>
      <w:r>
        <w:rPr>
          <w:rFonts w:hint="eastAsia" w:ascii="Times New Roman" w:hAnsi="Times New Roman" w:eastAsia="宋体" w:cs="Times New Roman"/>
          <w:kern w:val="2"/>
          <w:sz w:val="28"/>
          <w:szCs w:val="28"/>
          <w:lang w:val="en-US" w:eastAsia="zh-CN" w:bidi="ar"/>
        </w:rPr>
        <w:t>2</w:t>
      </w:r>
      <w:r>
        <w:rPr>
          <w:rFonts w:hint="default" w:ascii="Times New Roman" w:hAnsi="Times New Roman" w:eastAsia="宋体" w:cs="Times New Roman"/>
          <w:kern w:val="2"/>
          <w:sz w:val="28"/>
          <w:szCs w:val="28"/>
          <w:lang w:bidi="ar"/>
        </w:rPr>
        <w:t>届毕业生地域流向最多的是中原区域经济体，</w:t>
      </w:r>
      <w:r>
        <w:rPr>
          <w:rFonts w:hint="default" w:ascii="Times New Roman" w:hAnsi="Times New Roman" w:eastAsia="宋体" w:cs="Times New Roman"/>
          <w:kern w:val="2"/>
          <w:sz w:val="28"/>
          <w:szCs w:val="28"/>
          <w:lang w:eastAsia="zh-CN" w:bidi="ar"/>
        </w:rPr>
        <w:t>人数为</w:t>
      </w:r>
      <w:r>
        <w:rPr>
          <w:rFonts w:hint="eastAsia" w:ascii="Times New Roman" w:hAnsi="Times New Roman" w:eastAsia="宋体" w:cs="Times New Roman"/>
          <w:kern w:val="2"/>
          <w:sz w:val="28"/>
          <w:szCs w:val="28"/>
          <w:lang w:val="en-US" w:eastAsia="zh-CN" w:bidi="ar"/>
        </w:rPr>
        <w:t>104</w:t>
      </w:r>
      <w:r>
        <w:rPr>
          <w:rFonts w:hint="default" w:ascii="Times New Roman" w:hAnsi="Times New Roman" w:eastAsia="宋体" w:cs="Times New Roman"/>
          <w:kern w:val="2"/>
          <w:sz w:val="28"/>
          <w:szCs w:val="28"/>
          <w:lang w:val="en-US" w:eastAsia="zh-CN" w:bidi="ar"/>
        </w:rPr>
        <w:t>人，</w:t>
      </w:r>
      <w:r>
        <w:rPr>
          <w:rFonts w:hint="default" w:ascii="Times New Roman" w:hAnsi="Times New Roman" w:eastAsia="宋体" w:cs="Times New Roman"/>
          <w:kern w:val="2"/>
          <w:sz w:val="28"/>
          <w:szCs w:val="28"/>
          <w:lang w:bidi="ar"/>
        </w:rPr>
        <w:t>占</w:t>
      </w:r>
      <w:r>
        <w:rPr>
          <w:rFonts w:hint="default" w:ascii="Times New Roman" w:hAnsi="Times New Roman" w:eastAsia="宋体" w:cs="Times New Roman"/>
          <w:kern w:val="2"/>
          <w:sz w:val="28"/>
          <w:szCs w:val="28"/>
          <w:lang w:eastAsia="zh-CN" w:bidi="ar"/>
        </w:rPr>
        <w:t>就业总人数的</w:t>
      </w:r>
      <w:r>
        <w:rPr>
          <w:rFonts w:hint="eastAsia" w:ascii="Times New Roman" w:hAnsi="Times New Roman" w:eastAsia="宋体" w:cs="Times New Roman"/>
          <w:kern w:val="2"/>
          <w:sz w:val="28"/>
          <w:szCs w:val="28"/>
          <w:lang w:val="en-US" w:eastAsia="zh-CN" w:bidi="ar"/>
        </w:rPr>
        <w:t>40.47</w:t>
      </w:r>
      <w:r>
        <w:rPr>
          <w:rFonts w:hint="default" w:ascii="Times New Roman" w:hAnsi="Times New Roman" w:eastAsia="宋体" w:cs="Times New Roman"/>
          <w:kern w:val="2"/>
          <w:sz w:val="28"/>
          <w:szCs w:val="28"/>
          <w:lang w:bidi="ar"/>
        </w:rPr>
        <w:t>%；其次是泛珠江三角洲区域经济体，</w:t>
      </w:r>
      <w:r>
        <w:rPr>
          <w:rFonts w:hint="default" w:ascii="Times New Roman" w:hAnsi="Times New Roman" w:eastAsia="宋体" w:cs="Times New Roman"/>
          <w:kern w:val="2"/>
          <w:sz w:val="28"/>
          <w:szCs w:val="28"/>
          <w:lang w:eastAsia="zh-CN" w:bidi="ar"/>
        </w:rPr>
        <w:t>人数为</w:t>
      </w:r>
      <w:r>
        <w:rPr>
          <w:rFonts w:hint="eastAsia" w:ascii="Times New Roman" w:hAnsi="Times New Roman" w:eastAsia="宋体" w:cs="Times New Roman"/>
          <w:kern w:val="2"/>
          <w:sz w:val="28"/>
          <w:szCs w:val="28"/>
          <w:lang w:val="en-US" w:eastAsia="zh-CN" w:bidi="ar"/>
        </w:rPr>
        <w:t>49</w:t>
      </w:r>
      <w:r>
        <w:rPr>
          <w:rFonts w:hint="default" w:ascii="Times New Roman" w:hAnsi="Times New Roman" w:eastAsia="宋体" w:cs="Times New Roman"/>
          <w:kern w:val="2"/>
          <w:sz w:val="28"/>
          <w:szCs w:val="28"/>
          <w:lang w:val="en-US" w:eastAsia="zh-CN" w:bidi="ar"/>
        </w:rPr>
        <w:t>人，</w:t>
      </w:r>
      <w:r>
        <w:rPr>
          <w:rFonts w:hint="default" w:ascii="Times New Roman" w:hAnsi="Times New Roman" w:eastAsia="宋体" w:cs="Times New Roman"/>
          <w:kern w:val="2"/>
          <w:sz w:val="28"/>
          <w:szCs w:val="28"/>
          <w:lang w:bidi="ar"/>
        </w:rPr>
        <w:t>占</w:t>
      </w:r>
      <w:r>
        <w:rPr>
          <w:rFonts w:hint="default" w:ascii="Times New Roman" w:hAnsi="Times New Roman" w:eastAsia="宋体" w:cs="Times New Roman"/>
          <w:kern w:val="2"/>
          <w:sz w:val="28"/>
          <w:szCs w:val="28"/>
          <w:lang w:eastAsia="zh-CN" w:bidi="ar"/>
        </w:rPr>
        <w:t>就业总人数的</w:t>
      </w:r>
      <w:r>
        <w:rPr>
          <w:rFonts w:hint="eastAsia" w:ascii="Times New Roman" w:hAnsi="Times New Roman" w:eastAsia="宋体" w:cs="Times New Roman"/>
          <w:kern w:val="2"/>
          <w:sz w:val="28"/>
          <w:szCs w:val="28"/>
          <w:lang w:val="en-US" w:eastAsia="zh-CN" w:bidi="ar"/>
        </w:rPr>
        <w:t>19.07</w:t>
      </w:r>
      <w:r>
        <w:rPr>
          <w:rFonts w:hint="default" w:ascii="Times New Roman" w:hAnsi="Times New Roman" w:eastAsia="宋体" w:cs="Times New Roman"/>
          <w:kern w:val="2"/>
          <w:sz w:val="28"/>
          <w:szCs w:val="28"/>
          <w:lang w:bidi="ar"/>
        </w:rPr>
        <w:t>%</w:t>
      </w:r>
      <w:r>
        <w:rPr>
          <w:rFonts w:hint="default" w:ascii="Times New Roman" w:hAnsi="Times New Roman" w:eastAsia="宋体" w:cs="Times New Roman"/>
          <w:kern w:val="2"/>
          <w:sz w:val="28"/>
          <w:szCs w:val="28"/>
          <w:lang w:eastAsia="zh-CN" w:bidi="ar"/>
        </w:rPr>
        <w:t>，最后依次是</w:t>
      </w:r>
      <w:r>
        <w:rPr>
          <w:rFonts w:hint="default" w:ascii="Times New Roman" w:hAnsi="Times New Roman" w:eastAsia="宋体" w:cs="Times New Roman"/>
          <w:kern w:val="0"/>
          <w:sz w:val="28"/>
          <w:szCs w:val="28"/>
          <w:lang w:bidi="ar"/>
        </w:rPr>
        <w:t>泛长江三角洲区域经济体</w:t>
      </w:r>
      <w:r>
        <w:rPr>
          <w:rFonts w:hint="default" w:ascii="Times New Roman" w:hAnsi="Times New Roman" w:eastAsia="宋体" w:cs="Times New Roman"/>
          <w:kern w:val="0"/>
          <w:sz w:val="28"/>
          <w:szCs w:val="28"/>
          <w:lang w:eastAsia="zh-CN" w:bidi="ar"/>
        </w:rPr>
        <w:t>、</w:t>
      </w:r>
      <w:r>
        <w:rPr>
          <w:rFonts w:hint="default" w:ascii="Times New Roman" w:hAnsi="Times New Roman" w:eastAsia="宋体" w:cs="Times New Roman"/>
          <w:kern w:val="0"/>
          <w:sz w:val="28"/>
          <w:szCs w:val="28"/>
          <w:lang w:bidi="ar"/>
        </w:rPr>
        <w:t>泛渤海湾区域经济体</w:t>
      </w:r>
      <w:r>
        <w:rPr>
          <w:rFonts w:hint="default" w:ascii="Times New Roman" w:hAnsi="Times New Roman" w:eastAsia="宋体" w:cs="Times New Roman"/>
          <w:kern w:val="0"/>
          <w:sz w:val="28"/>
          <w:szCs w:val="28"/>
          <w:lang w:eastAsia="zh-CN" w:bidi="ar"/>
        </w:rPr>
        <w:t>、</w:t>
      </w:r>
      <w:r>
        <w:rPr>
          <w:rFonts w:hint="default" w:ascii="Times New Roman" w:hAnsi="Times New Roman" w:eastAsia="宋体" w:cs="Times New Roman"/>
          <w:kern w:val="0"/>
          <w:sz w:val="28"/>
          <w:szCs w:val="28"/>
          <w:lang w:bidi="ar"/>
        </w:rPr>
        <w:t>西南区域经济体</w:t>
      </w:r>
      <w:r>
        <w:rPr>
          <w:rFonts w:hint="default" w:ascii="Times New Roman" w:hAnsi="Times New Roman" w:eastAsia="宋体" w:cs="Times New Roman"/>
          <w:kern w:val="0"/>
          <w:sz w:val="28"/>
          <w:szCs w:val="28"/>
          <w:lang w:eastAsia="zh-CN" w:bidi="ar"/>
        </w:rPr>
        <w:t>等（表</w:t>
      </w:r>
      <w:r>
        <w:rPr>
          <w:rFonts w:hint="eastAsia" w:ascii="Times New Roman" w:hAnsi="Times New Roman" w:eastAsia="宋体" w:cs="Times New Roman"/>
          <w:kern w:val="0"/>
          <w:sz w:val="28"/>
          <w:szCs w:val="28"/>
          <w:lang w:val="en-US" w:eastAsia="zh-CN" w:bidi="ar"/>
        </w:rPr>
        <w:t>6</w:t>
      </w:r>
      <w:r>
        <w:rPr>
          <w:rFonts w:hint="default" w:ascii="Times New Roman" w:hAnsi="Times New Roman" w:eastAsia="宋体" w:cs="Times New Roman"/>
          <w:kern w:val="0"/>
          <w:sz w:val="28"/>
          <w:szCs w:val="28"/>
          <w:lang w:eastAsia="zh-CN" w:bidi="ar"/>
        </w:rPr>
        <w:t>）</w:t>
      </w:r>
      <w:r>
        <w:rPr>
          <w:rFonts w:hint="default" w:ascii="Times New Roman" w:hAnsi="Times New Roman" w:eastAsia="宋体" w:cs="Times New Roman"/>
          <w:kern w:val="2"/>
          <w:sz w:val="28"/>
          <w:szCs w:val="28"/>
          <w:lang w:bidi="ar"/>
        </w:rPr>
        <w:t>。</w:t>
      </w:r>
    </w:p>
    <w:p>
      <w:pPr>
        <w:pStyle w:val="13"/>
        <w:spacing w:line="560" w:lineRule="exact"/>
        <w:ind w:right="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6  通信与电子</w:t>
      </w:r>
      <w:r>
        <w:rPr>
          <w:rFonts w:hint="default" w:ascii="Times New Roman" w:hAnsi="Times New Roman" w:eastAsia="宋体" w:cs="Times New Roman"/>
          <w:b/>
          <w:bCs/>
          <w:color w:val="auto"/>
          <w:kern w:val="2"/>
          <w:sz w:val="24"/>
          <w:szCs w:val="24"/>
          <w:lang w:val="en-US" w:eastAsia="zh-CN" w:bidi="ar-SA"/>
        </w:rPr>
        <w:t>工程学院20</w:t>
      </w:r>
      <w:r>
        <w:rPr>
          <w:rFonts w:hint="eastAsia" w:ascii="Times New Roman" w:hAnsi="Times New Roman" w:eastAsia="宋体" w:cs="Times New Roman"/>
          <w:b/>
          <w:bCs/>
          <w:color w:val="auto"/>
          <w:kern w:val="2"/>
          <w:sz w:val="24"/>
          <w:szCs w:val="24"/>
          <w:lang w:val="en-US" w:eastAsia="zh-CN" w:bidi="ar-SA"/>
        </w:rPr>
        <w:t>22</w:t>
      </w:r>
      <w:r>
        <w:rPr>
          <w:rFonts w:hint="default" w:ascii="Times New Roman" w:hAnsi="Times New Roman" w:eastAsia="宋体" w:cs="Times New Roman"/>
          <w:b/>
          <w:bCs/>
          <w:color w:val="auto"/>
          <w:kern w:val="2"/>
          <w:sz w:val="24"/>
          <w:szCs w:val="24"/>
          <w:lang w:val="en-US" w:eastAsia="zh-CN" w:bidi="ar-SA"/>
        </w:rPr>
        <w:t>届毕业生就业地域流向</w:t>
      </w:r>
    </w:p>
    <w:tbl>
      <w:tblPr>
        <w:tblStyle w:val="14"/>
        <w:tblW w:w="8888" w:type="dxa"/>
        <w:jc w:val="center"/>
        <w:tblLayout w:type="fixed"/>
        <w:tblCellMar>
          <w:top w:w="0" w:type="dxa"/>
          <w:left w:w="108" w:type="dxa"/>
          <w:bottom w:w="0" w:type="dxa"/>
          <w:right w:w="108" w:type="dxa"/>
        </w:tblCellMar>
      </w:tblPr>
      <w:tblGrid>
        <w:gridCol w:w="1200"/>
        <w:gridCol w:w="3953"/>
        <w:gridCol w:w="1879"/>
        <w:gridCol w:w="1856"/>
      </w:tblGrid>
      <w:tr>
        <w:tblPrEx>
          <w:tblCellMar>
            <w:top w:w="0" w:type="dxa"/>
            <w:left w:w="108" w:type="dxa"/>
            <w:bottom w:w="0" w:type="dxa"/>
            <w:right w:w="108" w:type="dxa"/>
          </w:tblCellMar>
        </w:tblPrEx>
        <w:trPr>
          <w:trHeight w:val="567"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学历层次</w:t>
            </w:r>
          </w:p>
        </w:tc>
        <w:tc>
          <w:tcPr>
            <w:tcW w:w="3953"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地域名称</w:t>
            </w:r>
          </w:p>
        </w:tc>
        <w:tc>
          <w:tcPr>
            <w:tcW w:w="1879" w:type="dxa"/>
            <w:tcBorders>
              <w:top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人数</w:t>
            </w:r>
          </w:p>
        </w:tc>
        <w:tc>
          <w:tcPr>
            <w:tcW w:w="1856" w:type="dxa"/>
            <w:tcBorders>
              <w:top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比率（%）</w:t>
            </w:r>
          </w:p>
        </w:tc>
      </w:tr>
      <w:tr>
        <w:tblPrEx>
          <w:tblCellMar>
            <w:top w:w="0" w:type="dxa"/>
            <w:left w:w="108" w:type="dxa"/>
            <w:bottom w:w="0" w:type="dxa"/>
            <w:right w:w="108" w:type="dxa"/>
          </w:tblCellMar>
        </w:tblPrEx>
        <w:trPr>
          <w:trHeight w:val="567" w:hRule="atLeast"/>
          <w:jc w:val="center"/>
        </w:trPr>
        <w:tc>
          <w:tcPr>
            <w:tcW w:w="1200"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bidi="ar"/>
              </w:rPr>
              <w:t>本</w:t>
            </w:r>
          </w:p>
          <w:p>
            <w:pPr>
              <w:spacing w:line="24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bidi="ar"/>
              </w:rPr>
              <w:t>科</w:t>
            </w:r>
          </w:p>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bidi="ar"/>
              </w:rPr>
              <w:t>生</w:t>
            </w: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中原区域经济体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104</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40.47</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泛珠江三角洲区域经济体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49</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rPr>
              <w:t>19.07</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bidi="ar"/>
              </w:rPr>
              <w:t>泛长江三角洲区域经济体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18</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7.00</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bidi="ar"/>
              </w:rPr>
              <w:t>泛渤海湾区域经济体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4</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1.56</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西南区域经济体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10</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3.89</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西部生态经济区</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1.17</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rPr>
              <w:t>泛东北区域经济体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3</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1.17</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bidi="ar"/>
              </w:rPr>
              <w:t>陕甘宁青区域经济体</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5</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kern w:val="0"/>
                <w:sz w:val="24"/>
                <w:szCs w:val="24"/>
                <w:lang w:val="en-US" w:eastAsia="zh-CN"/>
              </w:rPr>
            </w:pPr>
            <w:r>
              <w:rPr>
                <w:rFonts w:hint="eastAsia" w:ascii="Times New Roman" w:hAnsi="Times New Roman" w:eastAsia="宋体" w:cs="Times New Roman"/>
                <w:b w:val="0"/>
                <w:bCs/>
                <w:kern w:val="0"/>
                <w:sz w:val="24"/>
                <w:szCs w:val="24"/>
                <w:lang w:val="en-US" w:eastAsia="zh-CN" w:bidi="ar"/>
              </w:rPr>
              <w:t>1.95</w:t>
            </w:r>
            <w:r>
              <w:rPr>
                <w:rFonts w:hint="default" w:ascii="Times New Roman" w:hAnsi="Times New Roman" w:eastAsia="宋体" w:cs="Times New Roman"/>
                <w:b w:val="0"/>
                <w:bCs/>
                <w:kern w:val="0"/>
                <w:sz w:val="24"/>
                <w:szCs w:val="24"/>
                <w:lang w:bidi="ar"/>
              </w:rPr>
              <w:t>%</w:t>
            </w:r>
          </w:p>
        </w:tc>
      </w:tr>
      <w:tr>
        <w:tblPrEx>
          <w:tblCellMar>
            <w:top w:w="0" w:type="dxa"/>
            <w:left w:w="108" w:type="dxa"/>
            <w:bottom w:w="0" w:type="dxa"/>
            <w:right w:w="108" w:type="dxa"/>
          </w:tblCellMar>
        </w:tblPrEx>
        <w:trPr>
          <w:trHeight w:val="567" w:hRule="atLeast"/>
          <w:jc w:val="center"/>
        </w:trPr>
        <w:tc>
          <w:tcPr>
            <w:tcW w:w="1200" w:type="dxa"/>
            <w:vMerge w:val="continue"/>
            <w:tcBorders>
              <w:left w:val="single" w:color="000000" w:sz="4" w:space="0"/>
              <w:right w:val="single" w:color="000000" w:sz="4" w:space="0"/>
            </w:tcBorders>
            <w:shd w:val="clear" w:color="auto" w:fill="DAE3F3" w:themeFill="accent5" w:themeFillTint="32"/>
            <w:vAlign w:val="center"/>
          </w:tcPr>
          <w:p>
            <w:pPr>
              <w:spacing w:line="240" w:lineRule="auto"/>
              <w:jc w:val="center"/>
              <w:rPr>
                <w:rFonts w:hint="default" w:ascii="Times New Roman" w:hAnsi="Times New Roman" w:eastAsia="宋体" w:cs="Times New Roman"/>
                <w:sz w:val="24"/>
                <w:szCs w:val="24"/>
              </w:rPr>
            </w:pPr>
          </w:p>
        </w:tc>
        <w:tc>
          <w:tcPr>
            <w:tcW w:w="395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其他</w:t>
            </w:r>
          </w:p>
        </w:tc>
        <w:tc>
          <w:tcPr>
            <w:tcW w:w="1879"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61</w:t>
            </w:r>
          </w:p>
        </w:tc>
        <w:tc>
          <w:tcPr>
            <w:tcW w:w="1856" w:type="dxa"/>
            <w:tcBorders>
              <w:top w:val="single" w:color="000000" w:sz="4" w:space="0"/>
              <w:bottom w:val="single" w:color="000000" w:sz="4" w:space="0"/>
              <w:right w:val="single" w:color="000000" w:sz="4" w:space="0"/>
            </w:tcBorders>
            <w:shd w:val="clear" w:color="auto" w:fill="EAF1DD"/>
            <w:vAlign w:val="center"/>
          </w:tcPr>
          <w:p>
            <w:pPr>
              <w:spacing w:line="240" w:lineRule="auto"/>
              <w:jc w:val="center"/>
              <w:rPr>
                <w:rFonts w:hint="default" w:ascii="Times New Roman" w:hAnsi="Times New Roman" w:eastAsia="宋体" w:cs="Times New Roman"/>
                <w:b w:val="0"/>
                <w:bCs/>
                <w:color w:val="000000"/>
                <w:kern w:val="0"/>
                <w:sz w:val="24"/>
                <w:szCs w:val="24"/>
                <w:lang w:val="en-US" w:eastAsia="zh-CN"/>
              </w:rPr>
            </w:pPr>
            <w:r>
              <w:rPr>
                <w:rFonts w:hint="eastAsia" w:ascii="Times New Roman" w:hAnsi="Times New Roman" w:eastAsia="宋体" w:cs="Times New Roman"/>
                <w:b w:val="0"/>
                <w:bCs/>
                <w:kern w:val="0"/>
                <w:sz w:val="24"/>
                <w:szCs w:val="24"/>
                <w:lang w:val="en-US" w:eastAsia="zh-CN" w:bidi="ar"/>
              </w:rPr>
              <w:t>23.74</w:t>
            </w:r>
            <w:r>
              <w:rPr>
                <w:rFonts w:hint="default" w:ascii="Times New Roman" w:hAnsi="Times New Roman" w:eastAsia="宋体" w:cs="Times New Roman"/>
                <w:b w:val="0"/>
                <w:bCs/>
                <w:kern w:val="0"/>
                <w:sz w:val="24"/>
                <w:szCs w:val="24"/>
                <w:lang w:bidi="ar"/>
              </w:rPr>
              <w:t>%</w:t>
            </w:r>
          </w:p>
        </w:tc>
      </w:tr>
    </w:tbl>
    <w:p>
      <w:pPr>
        <w:keepNext w:val="0"/>
        <w:keepLines w:val="0"/>
        <w:pageBreakBefore w:val="0"/>
        <w:widowControl w:val="0"/>
        <w:tabs>
          <w:tab w:val="left" w:pos="6451"/>
        </w:tabs>
        <w:kinsoku/>
        <w:wordWrap/>
        <w:overflowPunct/>
        <w:topLinePunct w:val="0"/>
        <w:autoSpaceDE/>
        <w:autoSpaceDN/>
        <w:bidi w:val="0"/>
        <w:adjustRightInd/>
        <w:snapToGrid/>
        <w:jc w:val="both"/>
        <w:textAlignment w:val="auto"/>
        <w:rPr>
          <w:rFonts w:hint="default" w:ascii="Times New Roman" w:hAnsi="Times New Roman" w:eastAsia="宋体" w:cs="Times New Roman"/>
        </w:rPr>
      </w:pPr>
      <w:r>
        <w:rPr>
          <w:rFonts w:hint="default" w:ascii="Times New Roman" w:hAnsi="Times New Roman" w:eastAsia="宋体" w:cs="Times New Roman"/>
          <w:spacing w:val="-2"/>
          <w:sz w:val="18"/>
          <w:szCs w:val="18"/>
          <w:lang w:bidi="ar"/>
        </w:rPr>
        <w:t>注：本报告按八大区域经济体划分毕业生地域流向，分别是中原区域经济体（河南、湖北、湖南）、泛珠江三角洲区域经济体（广东、广西、福建、海南）、泛长江三角洲区域经济体（上海、江苏、浙江、江西、安徽）、泛渤海湾区域经济体（北京、天津、山东、河北、内蒙古、山西）、西南区域经济体（重庆、四川、贵州、云南）、西部生态经济区（西藏、新疆）、泛东北区域经济体（黑龙江、吉林、辽</w:t>
      </w:r>
      <w:r>
        <w:rPr>
          <w:rFonts w:hint="eastAsia" w:ascii="Times New Roman" w:hAnsi="Times New Roman" w:eastAsia="宋体" w:cs="Times New Roman"/>
          <w:spacing w:val="-2"/>
          <w:sz w:val="18"/>
          <w:szCs w:val="18"/>
          <w:lang w:eastAsia="zh-CN" w:bidi="ar"/>
        </w:rPr>
        <w:t>宁</w:t>
      </w:r>
      <w:r>
        <w:rPr>
          <w:rFonts w:hint="default" w:ascii="Times New Roman" w:hAnsi="Times New Roman" w:eastAsia="宋体" w:cs="Times New Roman"/>
          <w:spacing w:val="-2"/>
          <w:sz w:val="18"/>
          <w:szCs w:val="18"/>
          <w:lang w:bidi="ar"/>
        </w:rPr>
        <w:t>）、陕甘宁青区域经济体（陕西、甘肃、宁夏、青海）。</w:t>
      </w:r>
    </w:p>
    <w:p>
      <w:pPr>
        <w:pStyle w:val="3"/>
        <w:numPr>
          <w:ilvl w:val="0"/>
          <w:numId w:val="0"/>
        </w:numPr>
        <w:shd w:val="clear"/>
        <w:spacing w:before="0" w:after="0" w:line="360" w:lineRule="auto"/>
        <w:ind w:leftChars="0" w:right="0" w:rightChars="0" w:firstLine="562" w:firstLineChars="200"/>
        <w:rPr>
          <w:rFonts w:hint="default" w:ascii="Times New Roman" w:hAnsi="Times New Roman" w:eastAsia="宋体" w:cs="Times New Roman"/>
          <w:sz w:val="28"/>
          <w:szCs w:val="28"/>
          <w:shd w:val="clear" w:color="auto" w:fill="auto"/>
        </w:rPr>
      </w:pPr>
      <w:r>
        <w:rPr>
          <w:rFonts w:hint="eastAsia" w:ascii="Times New Roman" w:hAnsi="Times New Roman" w:eastAsia="宋体" w:cs="Times New Roman"/>
          <w:sz w:val="28"/>
          <w:szCs w:val="28"/>
          <w:shd w:val="clear" w:color="auto" w:fill="auto"/>
          <w:lang w:val="en-US" w:eastAsia="zh-CN"/>
        </w:rPr>
        <w:t>6、</w:t>
      </w:r>
      <w:r>
        <w:rPr>
          <w:rFonts w:hint="default" w:ascii="Times New Roman" w:hAnsi="Times New Roman" w:eastAsia="宋体" w:cs="Times New Roman"/>
          <w:sz w:val="28"/>
          <w:szCs w:val="28"/>
          <w:shd w:val="clear" w:color="auto" w:fill="auto"/>
        </w:rPr>
        <w:t>毕业生</w:t>
      </w:r>
      <w:r>
        <w:rPr>
          <w:rFonts w:hint="eastAsia" w:ascii="Times New Roman" w:hAnsi="Times New Roman" w:eastAsia="宋体" w:cs="Times New Roman"/>
          <w:sz w:val="28"/>
          <w:szCs w:val="28"/>
          <w:shd w:val="clear" w:color="auto" w:fill="auto"/>
          <w:lang w:eastAsia="zh-CN"/>
        </w:rPr>
        <w:t>继续深造情况</w:t>
      </w:r>
    </w:p>
    <w:p>
      <w:pPr>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我院</w:t>
      </w:r>
      <w:r>
        <w:rPr>
          <w:rFonts w:hint="default" w:ascii="Times New Roman" w:hAnsi="Times New Roman" w:eastAsia="宋体" w:cs="Times New Roman"/>
          <w:sz w:val="28"/>
          <w:szCs w:val="28"/>
          <w:lang w:val="en-US" w:eastAsia="zh-CN"/>
        </w:rPr>
        <w:t>202</w:t>
      </w:r>
      <w:r>
        <w:rPr>
          <w:rFonts w:hint="eastAsia"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val="en-US" w:eastAsia="zh-CN"/>
        </w:rPr>
        <w:t>届毕业生</w:t>
      </w:r>
      <w:r>
        <w:rPr>
          <w:rFonts w:hint="eastAsia" w:ascii="Times New Roman" w:hAnsi="Times New Roman" w:eastAsia="宋体" w:cs="Times New Roman"/>
          <w:sz w:val="28"/>
          <w:szCs w:val="28"/>
          <w:lang w:val="en-US" w:eastAsia="zh-CN"/>
        </w:rPr>
        <w:t>总人数为288人，</w:t>
      </w:r>
      <w:r>
        <w:rPr>
          <w:rFonts w:hint="default" w:ascii="Times New Roman" w:hAnsi="Times New Roman" w:eastAsia="宋体" w:cs="Times New Roman"/>
          <w:sz w:val="28"/>
          <w:szCs w:val="28"/>
          <w:lang w:val="en-US" w:eastAsia="zh-CN"/>
        </w:rPr>
        <w:t>继续深造</w:t>
      </w:r>
      <w:r>
        <w:rPr>
          <w:rFonts w:hint="eastAsia" w:ascii="Times New Roman" w:hAnsi="Times New Roman" w:eastAsia="宋体" w:cs="Times New Roman"/>
          <w:sz w:val="28"/>
          <w:szCs w:val="28"/>
          <w:lang w:val="en-US" w:eastAsia="zh-CN"/>
        </w:rPr>
        <w:t>报考率接近1/3，其中升学</w:t>
      </w:r>
      <w:r>
        <w:rPr>
          <w:rFonts w:hint="default" w:ascii="Times New Roman" w:hAnsi="Times New Roman" w:eastAsia="宋体" w:cs="Times New Roman"/>
          <w:sz w:val="28"/>
          <w:szCs w:val="28"/>
          <w:lang w:val="en-US" w:eastAsia="zh-CN"/>
        </w:rPr>
        <w:t>人数</w:t>
      </w:r>
      <w:r>
        <w:rPr>
          <w:rFonts w:hint="eastAsia" w:ascii="Times New Roman" w:hAnsi="Times New Roman" w:eastAsia="宋体" w:cs="Times New Roman"/>
          <w:sz w:val="28"/>
          <w:szCs w:val="28"/>
          <w:lang w:val="en-US" w:eastAsia="zh-CN"/>
        </w:rPr>
        <w:t>为</w:t>
      </w:r>
      <w:r>
        <w:rPr>
          <w:rFonts w:hint="default"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lang w:val="en-US" w:eastAsia="zh-CN"/>
        </w:rPr>
        <w:t>0</w:t>
      </w:r>
      <w:r>
        <w:rPr>
          <w:rFonts w:hint="default" w:ascii="Times New Roman" w:hAnsi="Times New Roman" w:eastAsia="宋体" w:cs="Times New Roman"/>
          <w:sz w:val="28"/>
          <w:szCs w:val="28"/>
          <w:lang w:val="en-US" w:eastAsia="zh-CN"/>
        </w:rPr>
        <w:t>人，占毕业生总人数的1</w:t>
      </w:r>
      <w:r>
        <w:rPr>
          <w:rFonts w:hint="eastAsia" w:ascii="Times New Roman" w:hAnsi="Times New Roman" w:eastAsia="宋体" w:cs="Times New Roman"/>
          <w:sz w:val="28"/>
          <w:szCs w:val="28"/>
          <w:lang w:val="en-US" w:eastAsia="zh-CN"/>
        </w:rPr>
        <w:t>3.89</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。（图4）</w:t>
      </w:r>
      <w:r>
        <w:rPr>
          <w:rFonts w:hint="default" w:ascii="Times New Roman" w:hAnsi="Times New Roman" w:eastAsia="宋体" w:cs="Times New Roman"/>
          <w:sz w:val="28"/>
          <w:szCs w:val="28"/>
          <w:lang w:val="en-US" w:eastAsia="zh-CN"/>
        </w:rPr>
        <w:t>。</w:t>
      </w:r>
    </w:p>
    <w:p>
      <w:pPr>
        <w:pStyle w:val="2"/>
        <w:jc w:val="center"/>
        <w:rPr>
          <w:rFonts w:hint="eastAsia" w:ascii="Times New Roman" w:hAnsi="Times New Roman" w:eastAsia="宋体" w:cs="Times New Roman"/>
          <w:lang w:eastAsia="zh-CN"/>
        </w:rPr>
      </w:pPr>
      <w:bookmarkStart w:id="38" w:name="_Toc9520"/>
      <w:bookmarkStart w:id="39" w:name="_Toc4531"/>
      <w:bookmarkStart w:id="40" w:name="_Toc19895"/>
      <w:bookmarkStart w:id="41" w:name="_Toc9325"/>
      <w:r>
        <w:rPr>
          <w:rFonts w:hint="eastAsia" w:ascii="Times New Roman" w:hAnsi="Times New Roman" w:eastAsia="宋体" w:cs="Times New Roman"/>
          <w:lang w:eastAsia="zh-CN"/>
        </w:rPr>
        <w:drawing>
          <wp:inline distT="0" distB="0" distL="114300" distR="114300">
            <wp:extent cx="4137660" cy="2719705"/>
            <wp:effectExtent l="4445" t="5080" r="10795" b="1841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2"/>
        <w:numPr>
          <w:ilvl w:val="0"/>
          <w:numId w:val="0"/>
        </w:numPr>
        <w:ind w:leftChars="0" w:right="0" w:rightChars="0" w:firstLine="562" w:firstLineChars="200"/>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val="en-US" w:eastAsia="zh-CN"/>
        </w:rPr>
        <w:t>三、</w:t>
      </w:r>
      <w:r>
        <w:rPr>
          <w:rFonts w:hint="default" w:ascii="Times New Roman" w:hAnsi="Times New Roman" w:eastAsia="宋体" w:cs="Times New Roman"/>
          <w:color w:val="auto"/>
          <w:sz w:val="28"/>
          <w:szCs w:val="28"/>
          <w:highlight w:val="none"/>
        </w:rPr>
        <w:t>毕业生就业趋势变化</w:t>
      </w:r>
      <w:bookmarkEnd w:id="38"/>
      <w:bookmarkEnd w:id="39"/>
      <w:bookmarkEnd w:id="40"/>
      <w:bookmarkEnd w:id="41"/>
    </w:p>
    <w:p>
      <w:pPr>
        <w:pStyle w:val="4"/>
        <w:numPr>
          <w:ilvl w:val="0"/>
          <w:numId w:val="0"/>
        </w:numPr>
        <w:spacing w:before="0" w:after="0" w:line="360" w:lineRule="auto"/>
        <w:ind w:leftChars="0" w:right="0" w:rightChars="0" w:firstLine="562" w:firstLineChars="200"/>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1、2022届与2021届</w:t>
      </w:r>
      <w:r>
        <w:rPr>
          <w:rFonts w:hint="default" w:ascii="Times New Roman" w:hAnsi="Times New Roman" w:eastAsia="宋体" w:cs="Times New Roman"/>
        </w:rPr>
        <w:t>毕业生各专业就业率</w:t>
      </w:r>
      <w:r>
        <w:rPr>
          <w:rFonts w:hint="eastAsia" w:ascii="Times New Roman" w:hAnsi="Times New Roman" w:eastAsia="宋体" w:cs="Times New Roman"/>
          <w:lang w:eastAsia="zh-CN"/>
        </w:rPr>
        <w:t>对比分析</w:t>
      </w:r>
    </w:p>
    <w:p>
      <w:pPr>
        <w:keepNext w:val="0"/>
        <w:keepLines w:val="0"/>
        <w:pageBreakBefore w:val="0"/>
        <w:widowControl w:val="0"/>
        <w:numPr>
          <w:ilvl w:val="0"/>
          <w:numId w:val="0"/>
        </w:numPr>
        <w:kinsoku/>
        <w:wordWrap/>
        <w:overflowPunct/>
        <w:topLinePunct w:val="0"/>
        <w:autoSpaceDE/>
        <w:autoSpaceDN/>
        <w:bidi w:val="0"/>
        <w:adjustRightInd/>
        <w:snapToGrid/>
        <w:ind w:leftChars="0" w:right="0" w:rightChars="0" w:firstLine="560" w:firstLineChars="200"/>
        <w:textAlignment w:val="auto"/>
        <w:rPr>
          <w:rFonts w:hint="eastAsia" w:ascii="Times New Roman" w:hAnsi="Times New Roman" w:eastAsia="宋体" w:cs="Times New Roman"/>
          <w:color w:val="auto"/>
          <w:kern w:val="2"/>
          <w:sz w:val="28"/>
          <w:szCs w:val="28"/>
          <w:lang w:val="en-US" w:eastAsia="zh-CN" w:bidi="ar-SA"/>
        </w:rPr>
      </w:pPr>
      <w:r>
        <w:rPr>
          <w:rFonts w:hint="eastAsia" w:ascii="Times New Roman" w:hAnsi="Times New Roman" w:eastAsia="宋体" w:cs="Times New Roman"/>
          <w:color w:val="auto"/>
          <w:kern w:val="2"/>
          <w:sz w:val="28"/>
          <w:szCs w:val="28"/>
          <w:lang w:val="en-US" w:eastAsia="zh-CN" w:bidi="ar-SA"/>
        </w:rPr>
        <w:t>近两年受疫情影响，我院毕业生就业率较往年相比有所下降。整体而言，2022届毕业生就2021届毕业生相比，就业率有所下降。其中，2022届电子信息工程专业、通信工程专业、电子信息科学与技术专业的毕业生就业率相比2021届毕业生有所下降；但电气工程及其自动化专业2022届毕业生较2021届毕业生相比就业率有所提升，主要原因为2022届电子信息工程专业、通信工程专业、电子信息科学与技术专业的毕业生想继续深造的居多，参加2022年硕士研究生考试导致（表7）。</w:t>
      </w:r>
    </w:p>
    <w:p>
      <w:pPr>
        <w:pStyle w:val="24"/>
        <w:widowControl/>
        <w:spacing w:line="360" w:lineRule="auto"/>
        <w:ind w:left="0" w:right="0"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cs="Times New Roman"/>
          <w:b/>
          <w:bCs/>
          <w:color w:val="auto"/>
          <w:kern w:val="2"/>
          <w:sz w:val="24"/>
          <w:szCs w:val="24"/>
          <w:lang w:val="en-US" w:eastAsia="zh-CN" w:bidi="ar-SA"/>
        </w:rPr>
        <w:t>7</w:t>
      </w:r>
      <w:r>
        <w:rPr>
          <w:rFonts w:hint="eastAsia"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cs="Times New Roman"/>
          <w:b/>
          <w:bCs/>
          <w:color w:val="auto"/>
          <w:kern w:val="2"/>
          <w:sz w:val="24"/>
          <w:szCs w:val="24"/>
          <w:lang w:val="en-US" w:eastAsia="zh-CN" w:bidi="ar-SA"/>
        </w:rPr>
        <w:t>通信与电子</w:t>
      </w:r>
      <w:r>
        <w:rPr>
          <w:rFonts w:hint="eastAsia" w:ascii="Times New Roman" w:hAnsi="Times New Roman" w:eastAsia="宋体" w:cs="Times New Roman"/>
          <w:b/>
          <w:bCs/>
          <w:color w:val="auto"/>
          <w:kern w:val="2"/>
          <w:sz w:val="24"/>
          <w:szCs w:val="24"/>
          <w:lang w:val="en-US" w:eastAsia="zh-CN" w:bidi="ar-SA"/>
        </w:rPr>
        <w:t>工程学院20</w:t>
      </w:r>
      <w:r>
        <w:rPr>
          <w:rFonts w:hint="eastAsia" w:ascii="Times New Roman" w:hAnsi="Times New Roman" w:cs="Times New Roman"/>
          <w:b/>
          <w:bCs/>
          <w:color w:val="auto"/>
          <w:kern w:val="2"/>
          <w:sz w:val="24"/>
          <w:szCs w:val="24"/>
          <w:lang w:val="en-US" w:eastAsia="zh-CN" w:bidi="ar-SA"/>
        </w:rPr>
        <w:t>22</w:t>
      </w:r>
      <w:r>
        <w:rPr>
          <w:rFonts w:hint="eastAsia" w:ascii="Times New Roman" w:hAnsi="Times New Roman" w:eastAsia="宋体" w:cs="Times New Roman"/>
          <w:b/>
          <w:bCs/>
          <w:color w:val="auto"/>
          <w:kern w:val="2"/>
          <w:sz w:val="24"/>
          <w:szCs w:val="24"/>
          <w:lang w:val="en-US" w:eastAsia="zh-CN" w:bidi="ar-SA"/>
        </w:rPr>
        <w:t>届与202</w:t>
      </w:r>
      <w:r>
        <w:rPr>
          <w:rFonts w:hint="eastAsia" w:ascii="Times New Roman" w:hAnsi="Times New Roman"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届</w:t>
      </w:r>
      <w:r>
        <w:rPr>
          <w:rFonts w:hint="default" w:ascii="Times New Roman" w:hAnsi="Times New Roman" w:eastAsia="宋体" w:cs="Times New Roman"/>
          <w:b/>
          <w:bCs/>
          <w:color w:val="auto"/>
          <w:kern w:val="2"/>
          <w:sz w:val="24"/>
          <w:szCs w:val="24"/>
          <w:lang w:val="en-US" w:eastAsia="zh-CN" w:bidi="ar-SA"/>
        </w:rPr>
        <w:t>毕业生各专业就业率</w:t>
      </w:r>
      <w:r>
        <w:rPr>
          <w:rFonts w:hint="eastAsia" w:ascii="Times New Roman" w:hAnsi="Times New Roman" w:eastAsia="宋体" w:cs="Times New Roman"/>
          <w:b/>
          <w:bCs/>
          <w:color w:val="auto"/>
          <w:kern w:val="2"/>
          <w:sz w:val="24"/>
          <w:szCs w:val="24"/>
          <w:lang w:val="en-US" w:eastAsia="zh-CN" w:bidi="ar-SA"/>
        </w:rPr>
        <w:t>对比分析</w:t>
      </w:r>
    </w:p>
    <w:tbl>
      <w:tblPr>
        <w:tblStyle w:val="14"/>
        <w:tblW w:w="9359" w:type="dxa"/>
        <w:jc w:val="center"/>
        <w:shd w:val="clear" w:color="auto" w:fill="FFFFFF" w:themeFill="background1"/>
        <w:tblLayout w:type="autofit"/>
        <w:tblCellMar>
          <w:top w:w="0" w:type="dxa"/>
          <w:left w:w="108" w:type="dxa"/>
          <w:bottom w:w="0" w:type="dxa"/>
          <w:right w:w="108" w:type="dxa"/>
        </w:tblCellMar>
      </w:tblPr>
      <w:tblGrid>
        <w:gridCol w:w="2423"/>
        <w:gridCol w:w="1000"/>
        <w:gridCol w:w="897"/>
        <w:gridCol w:w="1125"/>
        <w:gridCol w:w="1035"/>
        <w:gridCol w:w="960"/>
        <w:gridCol w:w="1080"/>
        <w:gridCol w:w="839"/>
      </w:tblGrid>
      <w:tr>
        <w:tblPrEx>
          <w:shd w:val="clear" w:color="auto" w:fill="FFFFFF" w:themeFill="background1"/>
          <w:tblCellMar>
            <w:top w:w="0" w:type="dxa"/>
            <w:left w:w="108" w:type="dxa"/>
            <w:bottom w:w="0" w:type="dxa"/>
            <w:right w:w="108" w:type="dxa"/>
          </w:tblCellMar>
        </w:tblPrEx>
        <w:trPr>
          <w:trHeight w:val="485" w:hRule="atLeast"/>
          <w:jc w:val="center"/>
        </w:trPr>
        <w:tc>
          <w:tcPr>
            <w:tcW w:w="2423"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专业名称</w:t>
            </w:r>
          </w:p>
        </w:tc>
        <w:tc>
          <w:tcPr>
            <w:tcW w:w="3022" w:type="dxa"/>
            <w:gridSpan w:val="3"/>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2022届</w:t>
            </w:r>
          </w:p>
        </w:tc>
        <w:tc>
          <w:tcPr>
            <w:tcW w:w="3075" w:type="dxa"/>
            <w:gridSpan w:val="3"/>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2021届</w:t>
            </w:r>
          </w:p>
        </w:tc>
        <w:tc>
          <w:tcPr>
            <w:tcW w:w="839" w:type="dxa"/>
            <w:vMerge w:val="restart"/>
            <w:tcBorders>
              <w:top w:val="single" w:color="000000" w:sz="4" w:space="0"/>
              <w:left w:val="single" w:color="000000" w:sz="4" w:space="0"/>
              <w:right w:val="single" w:color="000000" w:sz="4" w:space="0"/>
            </w:tcBorders>
            <w:shd w:val="clear" w:color="auto" w:fill="DAE3F3" w:themeFill="accent5" w:themeFillTint="32"/>
            <w:vAlign w:val="center"/>
          </w:tcPr>
          <w:p>
            <w:pPr>
              <w:widowControl/>
              <w:spacing w:line="240" w:lineRule="auto"/>
              <w:jc w:val="center"/>
              <w:rPr>
                <w:rFonts w:hint="eastAsia"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趋势</w:t>
            </w:r>
          </w:p>
          <w:p>
            <w:pPr>
              <w:widowControl/>
              <w:spacing w:line="240" w:lineRule="auto"/>
              <w:jc w:val="center"/>
              <w:rPr>
                <w:rFonts w:hint="eastAsia" w:ascii="Times New Roman" w:hAnsi="Times New Roman" w:eastAsia="宋体" w:cs="Times New Roman"/>
                <w:b/>
                <w:kern w:val="0"/>
                <w:sz w:val="24"/>
                <w:szCs w:val="24"/>
                <w:lang w:val="en-US" w:eastAsia="zh-CN" w:bidi="ar"/>
              </w:rPr>
            </w:pPr>
            <w:r>
              <w:rPr>
                <w:rFonts w:hint="eastAsia" w:ascii="Times New Roman" w:hAnsi="Times New Roman" w:eastAsia="宋体" w:cs="Times New Roman"/>
                <w:b/>
                <w:kern w:val="0"/>
                <w:sz w:val="24"/>
                <w:szCs w:val="24"/>
                <w:lang w:val="en-US" w:eastAsia="zh-CN" w:bidi="ar"/>
              </w:rPr>
              <w:t>变化</w:t>
            </w:r>
          </w:p>
        </w:tc>
      </w:tr>
      <w:tr>
        <w:tblPrEx>
          <w:shd w:val="clear" w:color="auto" w:fill="FFFFFF" w:themeFill="background1"/>
          <w:tblCellMar>
            <w:top w:w="0" w:type="dxa"/>
            <w:left w:w="108" w:type="dxa"/>
            <w:bottom w:w="0" w:type="dxa"/>
            <w:right w:w="108" w:type="dxa"/>
          </w:tblCellMar>
        </w:tblPrEx>
        <w:trPr>
          <w:trHeight w:val="488" w:hRule="atLeast"/>
          <w:jc w:val="center"/>
        </w:trPr>
        <w:tc>
          <w:tcPr>
            <w:tcW w:w="2423" w:type="dxa"/>
            <w:vMerge w:val="continue"/>
            <w:tcBorders>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p>
        </w:tc>
        <w:tc>
          <w:tcPr>
            <w:tcW w:w="100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总人数</w:t>
            </w:r>
          </w:p>
        </w:tc>
        <w:tc>
          <w:tcPr>
            <w:tcW w:w="897"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lang w:bidi="ar"/>
              </w:rPr>
            </w:pPr>
            <w:r>
              <w:rPr>
                <w:rFonts w:hint="default" w:ascii="Times New Roman" w:hAnsi="Times New Roman" w:eastAsia="宋体" w:cs="Times New Roman"/>
                <w:b/>
                <w:kern w:val="0"/>
                <w:sz w:val="24"/>
                <w:szCs w:val="24"/>
                <w:lang w:bidi="ar"/>
              </w:rPr>
              <w:t>就业</w:t>
            </w:r>
          </w:p>
          <w:p>
            <w:pPr>
              <w:widowControl/>
              <w:spacing w:line="240" w:lineRule="auto"/>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lang w:bidi="ar"/>
              </w:rPr>
              <w:t>人数</w:t>
            </w:r>
          </w:p>
        </w:tc>
        <w:tc>
          <w:tcPr>
            <w:tcW w:w="112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jc w:val="center"/>
              <w:rPr>
                <w:rFonts w:hint="default"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eastAsia="zh-CN" w:bidi="ar"/>
              </w:rPr>
              <w:t>就业率</w:t>
            </w:r>
            <w:r>
              <w:rPr>
                <w:rFonts w:hint="default" w:ascii="Times New Roman" w:hAnsi="Times New Roman" w:eastAsia="宋体" w:cs="Times New Roman"/>
                <w:b/>
                <w:kern w:val="0"/>
                <w:sz w:val="24"/>
                <w:szCs w:val="24"/>
                <w:lang w:bidi="ar"/>
              </w:rPr>
              <w:t>(%)</w:t>
            </w:r>
          </w:p>
        </w:tc>
        <w:tc>
          <w:tcPr>
            <w:tcW w:w="1035"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eastAsia"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szCs w:val="24"/>
                <w:lang w:bidi="ar"/>
              </w:rPr>
              <w:t>总人数</w:t>
            </w:r>
          </w:p>
        </w:tc>
        <w:tc>
          <w:tcPr>
            <w:tcW w:w="96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default" w:ascii="Times New Roman" w:hAnsi="Times New Roman" w:eastAsia="宋体" w:cs="Times New Roman"/>
                <w:b/>
                <w:kern w:val="0"/>
                <w:sz w:val="24"/>
                <w:szCs w:val="24"/>
                <w:lang w:bidi="ar"/>
              </w:rPr>
            </w:pPr>
            <w:r>
              <w:rPr>
                <w:rFonts w:hint="default" w:ascii="Times New Roman" w:hAnsi="Times New Roman" w:eastAsia="宋体" w:cs="Times New Roman"/>
                <w:b/>
                <w:kern w:val="0"/>
                <w:sz w:val="24"/>
                <w:szCs w:val="24"/>
                <w:lang w:bidi="ar"/>
              </w:rPr>
              <w:t>就业</w:t>
            </w:r>
          </w:p>
          <w:p>
            <w:pPr>
              <w:widowControl/>
              <w:spacing w:line="240" w:lineRule="auto"/>
              <w:ind w:left="0" w:leftChars="0" w:right="0" w:rightChars="0" w:firstLine="0" w:firstLineChars="0"/>
              <w:jc w:val="center"/>
              <w:rPr>
                <w:rFonts w:hint="eastAsia"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szCs w:val="24"/>
                <w:lang w:bidi="ar"/>
              </w:rPr>
              <w:t>人数</w:t>
            </w:r>
          </w:p>
        </w:tc>
        <w:tc>
          <w:tcPr>
            <w:tcW w:w="108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eastAsia" w:ascii="Times New Roman" w:hAnsi="Times New Roman" w:eastAsia="宋体" w:cs="Times New Roman"/>
                <w:b/>
                <w:color w:val="auto"/>
                <w:kern w:val="0"/>
                <w:sz w:val="24"/>
                <w:szCs w:val="24"/>
                <w:lang w:val="en-US" w:eastAsia="zh-CN" w:bidi="ar-SA"/>
              </w:rPr>
            </w:pPr>
            <w:r>
              <w:rPr>
                <w:rFonts w:hint="eastAsia" w:ascii="Times New Roman" w:hAnsi="Times New Roman" w:eastAsia="宋体" w:cs="Times New Roman"/>
                <w:b/>
                <w:kern w:val="0"/>
                <w:sz w:val="24"/>
                <w:szCs w:val="24"/>
                <w:lang w:eastAsia="zh-CN" w:bidi="ar"/>
              </w:rPr>
              <w:t>就业率</w:t>
            </w:r>
            <w:r>
              <w:rPr>
                <w:rFonts w:hint="default" w:ascii="Times New Roman" w:hAnsi="Times New Roman" w:eastAsia="宋体" w:cs="Times New Roman"/>
                <w:b/>
                <w:kern w:val="0"/>
                <w:sz w:val="24"/>
                <w:szCs w:val="24"/>
                <w:lang w:bidi="ar"/>
              </w:rPr>
              <w:t>(%)</w:t>
            </w:r>
          </w:p>
        </w:tc>
        <w:tc>
          <w:tcPr>
            <w:tcW w:w="839" w:type="dxa"/>
            <w:vMerge w:val="continue"/>
            <w:tcBorders>
              <w:left w:val="single" w:color="000000" w:sz="4" w:space="0"/>
              <w:bottom w:val="single" w:color="000000" w:sz="4" w:space="0"/>
              <w:right w:val="single" w:color="000000" w:sz="4" w:space="0"/>
            </w:tcBorders>
            <w:shd w:val="clear" w:color="auto" w:fill="DAE3F3" w:themeFill="accent5" w:themeFillTint="32"/>
            <w:vAlign w:val="center"/>
          </w:tcPr>
          <w:p>
            <w:pPr>
              <w:widowControl/>
              <w:spacing w:line="240" w:lineRule="auto"/>
              <w:ind w:left="0" w:leftChars="0" w:right="0" w:rightChars="0" w:firstLine="0" w:firstLineChars="0"/>
              <w:jc w:val="center"/>
              <w:rPr>
                <w:rFonts w:hint="eastAsia" w:ascii="Times New Roman" w:hAnsi="Times New Roman" w:eastAsia="宋体" w:cs="Times New Roman"/>
                <w:b/>
                <w:kern w:val="0"/>
                <w:sz w:val="24"/>
                <w:szCs w:val="24"/>
                <w:lang w:eastAsia="zh-CN" w:bidi="ar"/>
              </w:rPr>
            </w:pPr>
          </w:p>
        </w:tc>
      </w:tr>
      <w:tr>
        <w:tblPrEx>
          <w:shd w:val="clear" w:color="auto" w:fill="FFFFFF" w:themeFill="background1"/>
          <w:tblCellMar>
            <w:top w:w="0" w:type="dxa"/>
            <w:left w:w="108" w:type="dxa"/>
            <w:bottom w:w="0" w:type="dxa"/>
            <w:right w:w="108" w:type="dxa"/>
          </w:tblCellMar>
        </w:tblPrEx>
        <w:trPr>
          <w:trHeight w:val="590" w:hRule="atLeast"/>
          <w:jc w:val="center"/>
        </w:trPr>
        <w:tc>
          <w:tcPr>
            <w:tcW w:w="24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电子信息工程</w:t>
            </w:r>
          </w:p>
        </w:tc>
        <w:tc>
          <w:tcPr>
            <w:tcW w:w="100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sz w:val="24"/>
                <w:szCs w:val="24"/>
                <w:lang w:val="en-US" w:eastAsia="zh-CN"/>
              </w:rPr>
              <w:t>72</w:t>
            </w:r>
          </w:p>
        </w:tc>
        <w:tc>
          <w:tcPr>
            <w:tcW w:w="89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67</w:t>
            </w:r>
          </w:p>
        </w:tc>
        <w:tc>
          <w:tcPr>
            <w:tcW w:w="11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93.06%</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65</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93.85%</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下降</w:t>
            </w:r>
          </w:p>
        </w:tc>
      </w:tr>
      <w:tr>
        <w:tblPrEx>
          <w:shd w:val="clear" w:color="auto" w:fill="FFFFFF" w:themeFill="background1"/>
          <w:tblCellMar>
            <w:top w:w="0" w:type="dxa"/>
            <w:left w:w="108" w:type="dxa"/>
            <w:bottom w:w="0" w:type="dxa"/>
            <w:right w:w="108" w:type="dxa"/>
          </w:tblCellMar>
        </w:tblPrEx>
        <w:trPr>
          <w:trHeight w:val="590" w:hRule="atLeast"/>
          <w:jc w:val="center"/>
        </w:trPr>
        <w:tc>
          <w:tcPr>
            <w:tcW w:w="24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通信工程</w:t>
            </w:r>
          </w:p>
        </w:tc>
        <w:tc>
          <w:tcPr>
            <w:tcW w:w="100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z w:val="24"/>
                <w:szCs w:val="24"/>
                <w:lang w:val="en-US" w:eastAsia="zh-CN"/>
              </w:rPr>
              <w:t>79</w:t>
            </w:r>
          </w:p>
        </w:tc>
        <w:tc>
          <w:tcPr>
            <w:tcW w:w="89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val="en-US" w:eastAsia="zh-CN"/>
              </w:rPr>
              <w:t>8</w:t>
            </w:r>
          </w:p>
        </w:tc>
        <w:tc>
          <w:tcPr>
            <w:tcW w:w="11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86.08%</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57</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96.49%</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下降</w:t>
            </w:r>
          </w:p>
        </w:tc>
      </w:tr>
      <w:tr>
        <w:tblPrEx>
          <w:shd w:val="clear" w:color="auto" w:fill="FFFFFF" w:themeFill="background1"/>
          <w:tblCellMar>
            <w:top w:w="0" w:type="dxa"/>
            <w:left w:w="108" w:type="dxa"/>
            <w:bottom w:w="0" w:type="dxa"/>
            <w:right w:w="108" w:type="dxa"/>
          </w:tblCellMar>
        </w:tblPrEx>
        <w:trPr>
          <w:trHeight w:val="590" w:hRule="atLeast"/>
          <w:jc w:val="center"/>
        </w:trPr>
        <w:tc>
          <w:tcPr>
            <w:tcW w:w="24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z w:val="24"/>
                <w:szCs w:val="24"/>
                <w:lang w:val="en-US" w:eastAsia="zh-CN"/>
              </w:rPr>
              <w:t>电子信息</w:t>
            </w:r>
            <w:r>
              <w:rPr>
                <w:rFonts w:hint="default" w:ascii="Times New Roman" w:hAnsi="Times New Roman" w:eastAsia="宋体" w:cs="Times New Roman"/>
                <w:sz w:val="24"/>
                <w:szCs w:val="24"/>
                <w:lang w:eastAsia="zh-CN"/>
              </w:rPr>
              <w:t>科学与技术</w:t>
            </w:r>
          </w:p>
        </w:tc>
        <w:tc>
          <w:tcPr>
            <w:tcW w:w="100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z w:val="24"/>
                <w:szCs w:val="24"/>
                <w:lang w:val="en-US" w:eastAsia="zh-CN"/>
              </w:rPr>
              <w:t>41</w:t>
            </w:r>
          </w:p>
        </w:tc>
        <w:tc>
          <w:tcPr>
            <w:tcW w:w="89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z w:val="24"/>
                <w:szCs w:val="24"/>
                <w:lang w:val="en-US" w:eastAsia="zh-CN"/>
              </w:rPr>
              <w:t>34</w:t>
            </w:r>
          </w:p>
        </w:tc>
        <w:tc>
          <w:tcPr>
            <w:tcW w:w="11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82.93%</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42</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92.86%</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下降</w:t>
            </w:r>
          </w:p>
        </w:tc>
      </w:tr>
      <w:tr>
        <w:tblPrEx>
          <w:shd w:val="clear" w:color="auto" w:fill="FFFFFF" w:themeFill="background1"/>
          <w:tblCellMar>
            <w:top w:w="0" w:type="dxa"/>
            <w:left w:w="108" w:type="dxa"/>
            <w:bottom w:w="0" w:type="dxa"/>
            <w:right w:w="108" w:type="dxa"/>
          </w:tblCellMar>
        </w:tblPrEx>
        <w:trPr>
          <w:trHeight w:val="590" w:hRule="atLeast"/>
          <w:jc w:val="center"/>
        </w:trPr>
        <w:tc>
          <w:tcPr>
            <w:tcW w:w="24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eastAsia="zh-CN"/>
              </w:rPr>
              <w:t>电气工程及其自动化</w:t>
            </w:r>
          </w:p>
        </w:tc>
        <w:tc>
          <w:tcPr>
            <w:tcW w:w="100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lang w:val="en-US" w:eastAsia="zh-CN"/>
              </w:rPr>
              <w:t>6</w:t>
            </w:r>
          </w:p>
        </w:tc>
        <w:tc>
          <w:tcPr>
            <w:tcW w:w="89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z w:val="24"/>
                <w:szCs w:val="24"/>
                <w:lang w:val="en-US" w:eastAsia="zh-CN"/>
              </w:rPr>
              <w:t>89</w:t>
            </w:r>
          </w:p>
        </w:tc>
        <w:tc>
          <w:tcPr>
            <w:tcW w:w="112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91.67%</w:t>
            </w:r>
          </w:p>
        </w:tc>
        <w:tc>
          <w:tcPr>
            <w:tcW w:w="103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99</w:t>
            </w:r>
          </w:p>
        </w:tc>
        <w:tc>
          <w:tcPr>
            <w:tcW w:w="9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ind w:left="0" w:leftChars="0" w:right="0" w:rightChars="0" w:firstLine="0" w:firstLineChars="0"/>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90.90%</w:t>
            </w:r>
          </w:p>
        </w:tc>
        <w:tc>
          <w:tcPr>
            <w:tcW w:w="8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上升</w:t>
            </w:r>
          </w:p>
        </w:tc>
      </w:tr>
    </w:tbl>
    <w:p>
      <w:pPr>
        <w:pStyle w:val="4"/>
        <w:spacing w:before="0" w:after="0" w:line="360" w:lineRule="auto"/>
        <w:ind w:firstLine="562" w:firstLineChars="200"/>
        <w:rPr>
          <w:rFonts w:hint="eastAsia" w:ascii="Times New Roman" w:hAnsi="Times New Roman" w:eastAsia="宋体" w:cs="Times New Roman"/>
          <w:szCs w:val="22"/>
          <w:lang w:eastAsia="zh-CN"/>
        </w:rPr>
      </w:pPr>
      <w:r>
        <w:rPr>
          <w:rFonts w:hint="eastAsia" w:ascii="Times New Roman" w:hAnsi="Times New Roman" w:eastAsia="宋体" w:cs="Times New Roman"/>
          <w:lang w:val="en-US" w:eastAsia="zh-CN"/>
        </w:rPr>
        <w:t>2、2022届与2021届</w:t>
      </w:r>
      <w:r>
        <w:rPr>
          <w:rFonts w:hint="eastAsia" w:ascii="Times New Roman" w:hAnsi="Times New Roman" w:eastAsia="宋体" w:cs="Times New Roman"/>
          <w:szCs w:val="22"/>
          <w:lang w:eastAsia="zh-CN"/>
        </w:rPr>
        <w:t>毕业生就业单位性质对比分析</w:t>
      </w:r>
    </w:p>
    <w:p>
      <w:pPr>
        <w:pStyle w:val="4"/>
        <w:spacing w:before="0" w:after="0" w:line="360" w:lineRule="auto"/>
        <w:ind w:firstLine="560" w:firstLineChars="200"/>
        <w:rPr>
          <w:rFonts w:hint="default" w:ascii="Times New Roman" w:hAnsi="Times New Roman" w:eastAsia="宋体" w:cs="Times New Roman"/>
          <w:b w:val="0"/>
          <w:bCs/>
          <w:sz w:val="28"/>
          <w:szCs w:val="28"/>
        </w:rPr>
      </w:pPr>
      <w:r>
        <w:rPr>
          <w:rFonts w:hint="default" w:ascii="Times New Roman" w:hAnsi="Times New Roman" w:eastAsia="宋体" w:cs="Times New Roman"/>
          <w:b w:val="0"/>
          <w:bCs/>
          <w:sz w:val="28"/>
          <w:szCs w:val="28"/>
        </w:rPr>
        <w:t>我院20</w:t>
      </w:r>
      <w:r>
        <w:rPr>
          <w:rFonts w:hint="eastAsia" w:ascii="Times New Roman" w:hAnsi="Times New Roman" w:eastAsia="宋体" w:cs="Times New Roman"/>
          <w:b w:val="0"/>
          <w:bCs/>
          <w:sz w:val="28"/>
          <w:szCs w:val="28"/>
          <w:lang w:val="en-US" w:eastAsia="zh-CN"/>
        </w:rPr>
        <w:t>22</w:t>
      </w:r>
      <w:r>
        <w:rPr>
          <w:rFonts w:hint="default" w:ascii="Times New Roman" w:hAnsi="Times New Roman" w:eastAsia="宋体" w:cs="Times New Roman"/>
          <w:b w:val="0"/>
          <w:bCs/>
          <w:sz w:val="28"/>
          <w:szCs w:val="28"/>
        </w:rPr>
        <w:t>届毕业生就业单位性质</w:t>
      </w:r>
      <w:r>
        <w:rPr>
          <w:rFonts w:hint="eastAsia" w:ascii="Times New Roman" w:hAnsi="Times New Roman" w:eastAsia="宋体" w:cs="Times New Roman"/>
          <w:b w:val="0"/>
          <w:bCs/>
          <w:sz w:val="28"/>
          <w:szCs w:val="28"/>
          <w:lang w:eastAsia="zh-CN"/>
        </w:rPr>
        <w:t>对比</w:t>
      </w:r>
      <w:r>
        <w:rPr>
          <w:rFonts w:hint="eastAsia" w:ascii="Times New Roman" w:hAnsi="Times New Roman" w:eastAsia="宋体" w:cs="Times New Roman"/>
          <w:b w:val="0"/>
          <w:bCs/>
          <w:sz w:val="28"/>
          <w:szCs w:val="28"/>
          <w:lang w:val="en-US" w:eastAsia="zh-CN"/>
        </w:rPr>
        <w:t>2021届增加的有：</w:t>
      </w:r>
      <w:r>
        <w:rPr>
          <w:rFonts w:hint="eastAsia" w:ascii="Times New Roman" w:hAnsi="Times New Roman" w:eastAsia="宋体" w:cs="Times New Roman"/>
          <w:b w:val="0"/>
          <w:bCs/>
          <w:sz w:val="28"/>
          <w:szCs w:val="28"/>
          <w:lang w:eastAsia="zh-CN"/>
        </w:rPr>
        <w:t>企业单位、其</w:t>
      </w:r>
      <w:r>
        <w:rPr>
          <w:rFonts w:hint="eastAsia" w:ascii="Times New Roman" w:hAnsi="Times New Roman" w:eastAsia="宋体" w:cs="Times New Roman"/>
          <w:b w:val="0"/>
          <w:bCs/>
          <w:sz w:val="28"/>
          <w:szCs w:val="28"/>
          <w:lang w:val="en-US" w:eastAsia="zh-CN"/>
        </w:rPr>
        <w:t>他</w:t>
      </w:r>
      <w:r>
        <w:rPr>
          <w:rFonts w:hint="eastAsia" w:ascii="Times New Roman" w:hAnsi="Times New Roman" w:eastAsia="宋体" w:cs="Times New Roman"/>
          <w:b w:val="0"/>
          <w:bCs/>
          <w:sz w:val="28"/>
          <w:szCs w:val="28"/>
          <w:lang w:eastAsia="zh-CN"/>
        </w:rPr>
        <w:t>教学单位、机关单位、</w:t>
      </w:r>
      <w:r>
        <w:rPr>
          <w:rFonts w:hint="default" w:ascii="Times New Roman" w:hAnsi="Times New Roman" w:eastAsia="宋体" w:cs="Times New Roman"/>
          <w:b w:val="0"/>
          <w:bCs/>
          <w:color w:val="000000"/>
          <w:kern w:val="0"/>
          <w:sz w:val="28"/>
          <w:szCs w:val="28"/>
        </w:rPr>
        <w:t>继续深造与出国</w:t>
      </w:r>
      <w:r>
        <w:rPr>
          <w:rFonts w:hint="eastAsia" w:ascii="Times New Roman" w:hAnsi="Times New Roman" w:eastAsia="宋体" w:cs="Times New Roman"/>
          <w:b w:val="0"/>
          <w:bCs/>
          <w:sz w:val="28"/>
          <w:szCs w:val="28"/>
          <w:lang w:eastAsia="zh-CN"/>
        </w:rPr>
        <w:t>。其中，随着我院</w:t>
      </w:r>
      <w:r>
        <w:rPr>
          <w:rFonts w:hint="eastAsia" w:ascii="Times New Roman" w:hAnsi="Times New Roman" w:eastAsia="宋体" w:cs="Times New Roman"/>
          <w:b w:val="0"/>
          <w:bCs/>
          <w:sz w:val="28"/>
          <w:szCs w:val="28"/>
          <w:lang w:val="en-US" w:eastAsia="zh-CN"/>
        </w:rPr>
        <w:t>报</w:t>
      </w:r>
      <w:r>
        <w:rPr>
          <w:rFonts w:hint="eastAsia" w:ascii="Times New Roman" w:hAnsi="Times New Roman" w:eastAsia="宋体" w:cs="Times New Roman"/>
          <w:b w:val="0"/>
          <w:bCs/>
          <w:sz w:val="28"/>
          <w:szCs w:val="28"/>
          <w:lang w:eastAsia="zh-CN"/>
        </w:rPr>
        <w:t>考</w:t>
      </w:r>
      <w:r>
        <w:rPr>
          <w:rFonts w:hint="eastAsia" w:ascii="Times New Roman" w:hAnsi="Times New Roman" w:eastAsia="宋体" w:cs="Times New Roman"/>
          <w:b w:val="0"/>
          <w:bCs/>
          <w:sz w:val="28"/>
          <w:szCs w:val="28"/>
          <w:lang w:val="en-US" w:eastAsia="zh-CN"/>
        </w:rPr>
        <w:t>硕士研究生</w:t>
      </w:r>
      <w:r>
        <w:rPr>
          <w:rFonts w:hint="eastAsia" w:ascii="Times New Roman" w:hAnsi="Times New Roman" w:eastAsia="宋体" w:cs="Times New Roman"/>
          <w:b w:val="0"/>
          <w:bCs/>
          <w:sz w:val="28"/>
          <w:szCs w:val="28"/>
          <w:lang w:eastAsia="zh-CN"/>
        </w:rPr>
        <w:t>人数增多，在</w:t>
      </w:r>
      <w:r>
        <w:rPr>
          <w:rFonts w:hint="eastAsia" w:ascii="Times New Roman" w:hAnsi="Times New Roman" w:eastAsia="宋体" w:cs="Times New Roman"/>
          <w:b w:val="0"/>
          <w:bCs/>
          <w:sz w:val="28"/>
          <w:szCs w:val="28"/>
          <w:lang w:val="en-US" w:eastAsia="zh-CN"/>
        </w:rPr>
        <w:t>继续深造与出国</w:t>
      </w:r>
      <w:r>
        <w:rPr>
          <w:rFonts w:hint="eastAsia" w:ascii="Times New Roman" w:hAnsi="Times New Roman" w:eastAsia="宋体" w:cs="Times New Roman"/>
          <w:b w:val="0"/>
          <w:bCs/>
          <w:sz w:val="28"/>
          <w:szCs w:val="28"/>
          <w:lang w:eastAsia="zh-CN"/>
        </w:rPr>
        <w:t>的</w:t>
      </w:r>
      <w:r>
        <w:rPr>
          <w:rFonts w:hint="eastAsia" w:ascii="Times New Roman" w:hAnsi="Times New Roman" w:eastAsia="宋体" w:cs="Times New Roman"/>
          <w:b w:val="0"/>
          <w:bCs/>
          <w:sz w:val="28"/>
          <w:szCs w:val="28"/>
          <w:lang w:val="en-US" w:eastAsia="zh-CN"/>
        </w:rPr>
        <w:t>占比</w:t>
      </w:r>
      <w:r>
        <w:rPr>
          <w:rFonts w:hint="eastAsia" w:ascii="Times New Roman" w:hAnsi="Times New Roman" w:eastAsia="宋体" w:cs="Times New Roman"/>
          <w:b w:val="0"/>
          <w:bCs/>
          <w:sz w:val="28"/>
          <w:szCs w:val="28"/>
          <w:lang w:eastAsia="zh-CN"/>
        </w:rPr>
        <w:t>率相比去年有较大幅度提升，同比增长</w:t>
      </w:r>
      <w:r>
        <w:rPr>
          <w:rFonts w:hint="eastAsia" w:ascii="Times New Roman" w:hAnsi="Times New Roman" w:eastAsia="宋体" w:cs="Times New Roman"/>
          <w:b w:val="0"/>
          <w:bCs/>
          <w:sz w:val="28"/>
          <w:szCs w:val="28"/>
          <w:lang w:val="en-US" w:eastAsia="zh-CN"/>
        </w:rPr>
        <w:t>3.11%</w:t>
      </w:r>
      <w:r>
        <w:rPr>
          <w:rFonts w:hint="eastAsia" w:ascii="Times New Roman" w:hAnsi="Times New Roman" w:eastAsia="宋体" w:cs="Times New Roman"/>
          <w:b w:val="0"/>
          <w:bCs/>
          <w:sz w:val="28"/>
          <w:szCs w:val="28"/>
          <w:lang w:eastAsia="zh-CN"/>
        </w:rPr>
        <w:t>（表</w:t>
      </w:r>
      <w:r>
        <w:rPr>
          <w:rFonts w:hint="eastAsia" w:ascii="Times New Roman" w:hAnsi="Times New Roman" w:eastAsia="宋体" w:cs="Times New Roman"/>
          <w:b w:val="0"/>
          <w:bCs/>
          <w:sz w:val="28"/>
          <w:szCs w:val="28"/>
          <w:lang w:val="en-US" w:eastAsia="zh-CN"/>
        </w:rPr>
        <w:t>8</w:t>
      </w:r>
      <w:r>
        <w:rPr>
          <w:rFonts w:hint="eastAsia" w:ascii="Times New Roman" w:hAnsi="Times New Roman" w:eastAsia="宋体" w:cs="Times New Roman"/>
          <w:b w:val="0"/>
          <w:bCs/>
          <w:sz w:val="28"/>
          <w:szCs w:val="28"/>
          <w:lang w:eastAsia="zh-CN"/>
        </w:rPr>
        <w:t>）</w:t>
      </w:r>
      <w:r>
        <w:rPr>
          <w:rFonts w:hint="default" w:ascii="Times New Roman" w:hAnsi="Times New Roman" w:eastAsia="宋体" w:cs="Times New Roman"/>
          <w:b w:val="0"/>
          <w:bCs/>
          <w:sz w:val="28"/>
          <w:szCs w:val="28"/>
        </w:rPr>
        <w:t>。</w:t>
      </w:r>
    </w:p>
    <w:p>
      <w:pPr>
        <w:ind w:right="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8  通信与电子</w:t>
      </w:r>
      <w:r>
        <w:rPr>
          <w:rFonts w:hint="default" w:ascii="Times New Roman" w:hAnsi="Times New Roman" w:eastAsia="宋体" w:cs="Times New Roman"/>
          <w:b/>
          <w:bCs/>
          <w:color w:val="auto"/>
          <w:kern w:val="2"/>
          <w:sz w:val="24"/>
          <w:szCs w:val="24"/>
          <w:lang w:val="en-US" w:eastAsia="zh-CN" w:bidi="ar-SA"/>
        </w:rPr>
        <w:t>工程学院</w:t>
      </w:r>
      <w:r>
        <w:rPr>
          <w:rFonts w:hint="eastAsia" w:ascii="Times New Roman" w:hAnsi="Times New Roman" w:eastAsia="宋体" w:cs="Times New Roman"/>
          <w:b/>
          <w:bCs/>
          <w:color w:val="auto"/>
          <w:kern w:val="2"/>
          <w:sz w:val="24"/>
          <w:szCs w:val="24"/>
          <w:lang w:val="en-US" w:eastAsia="zh-CN" w:bidi="ar-SA"/>
        </w:rPr>
        <w:t>2022届与2021届毕业生就业单位性质对比分析</w:t>
      </w:r>
    </w:p>
    <w:tbl>
      <w:tblPr>
        <w:tblStyle w:val="14"/>
        <w:tblW w:w="8733" w:type="dxa"/>
        <w:jc w:val="center"/>
        <w:tblLayout w:type="fixed"/>
        <w:tblCellMar>
          <w:top w:w="0" w:type="dxa"/>
          <w:left w:w="108" w:type="dxa"/>
          <w:bottom w:w="0" w:type="dxa"/>
          <w:right w:w="108" w:type="dxa"/>
        </w:tblCellMar>
      </w:tblPr>
      <w:tblGrid>
        <w:gridCol w:w="2139"/>
        <w:gridCol w:w="1201"/>
        <w:gridCol w:w="1520"/>
        <w:gridCol w:w="1233"/>
        <w:gridCol w:w="1560"/>
        <w:gridCol w:w="1080"/>
      </w:tblGrid>
      <w:tr>
        <w:tblPrEx>
          <w:tblCellMar>
            <w:top w:w="0" w:type="dxa"/>
            <w:left w:w="108" w:type="dxa"/>
            <w:bottom w:w="0" w:type="dxa"/>
            <w:right w:w="108" w:type="dxa"/>
          </w:tblCellMar>
        </w:tblPrEx>
        <w:trPr>
          <w:trHeight w:val="567" w:hRule="exact"/>
          <w:jc w:val="center"/>
        </w:trPr>
        <w:tc>
          <w:tcPr>
            <w:tcW w:w="2139"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单位性质</w:t>
            </w:r>
          </w:p>
        </w:tc>
        <w:tc>
          <w:tcPr>
            <w:tcW w:w="2721"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2022届</w:t>
            </w:r>
          </w:p>
        </w:tc>
        <w:tc>
          <w:tcPr>
            <w:tcW w:w="2793"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2021届</w:t>
            </w:r>
          </w:p>
        </w:tc>
        <w:tc>
          <w:tcPr>
            <w:tcW w:w="1080"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趋势</w:t>
            </w:r>
          </w:p>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变化</w:t>
            </w:r>
          </w:p>
        </w:tc>
      </w:tr>
      <w:tr>
        <w:tblPrEx>
          <w:tblCellMar>
            <w:top w:w="0" w:type="dxa"/>
            <w:left w:w="108" w:type="dxa"/>
            <w:bottom w:w="0" w:type="dxa"/>
            <w:right w:w="108" w:type="dxa"/>
          </w:tblCellMar>
        </w:tblPrEx>
        <w:trPr>
          <w:trHeight w:val="567" w:hRule="exact"/>
          <w:jc w:val="center"/>
        </w:trPr>
        <w:tc>
          <w:tcPr>
            <w:tcW w:w="2139"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2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23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6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080"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bidi="ar"/>
              </w:rPr>
            </w:pP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bidi="ar"/>
              </w:rPr>
              <w:t>企业单位</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196</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76.26</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256</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78.29</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继续深造与出国</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4</w:t>
            </w:r>
            <w:r>
              <w:rPr>
                <w:rFonts w:hint="eastAsia" w:ascii="Times New Roman" w:hAnsi="Times New Roman" w:eastAsia="宋体" w:cs="Times New Roman"/>
                <w:color w:val="000000"/>
                <w:kern w:val="0"/>
                <w:sz w:val="24"/>
                <w:szCs w:val="24"/>
                <w:lang w:val="en-US" w:eastAsia="zh-CN"/>
              </w:rPr>
              <w:t>1</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15.95</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42</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12.84</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rPr>
              <w:t>其</w:t>
            </w:r>
            <w:r>
              <w:rPr>
                <w:rFonts w:hint="eastAsia" w:ascii="Times New Roman" w:hAnsi="Times New Roman" w:eastAsia="宋体" w:cs="Times New Roman"/>
                <w:color w:val="000000"/>
                <w:kern w:val="0"/>
                <w:sz w:val="24"/>
                <w:szCs w:val="24"/>
                <w:lang w:val="en-US" w:eastAsia="zh-CN"/>
              </w:rPr>
              <w:t>他</w:t>
            </w:r>
            <w:r>
              <w:rPr>
                <w:rFonts w:hint="default" w:ascii="Times New Roman" w:hAnsi="Times New Roman" w:eastAsia="宋体" w:cs="Times New Roman"/>
                <w:color w:val="000000"/>
                <w:kern w:val="0"/>
                <w:sz w:val="24"/>
                <w:szCs w:val="24"/>
              </w:rPr>
              <w:t>教学单位</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4</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1.56</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0.92</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bidi="ar"/>
              </w:rPr>
              <w:t>机关单位</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9</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3.50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12</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3.67</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rPr>
              <w:t>其他事业单位</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3</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1.17</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0.92</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医疗卫生</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0</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0.31</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自由职业</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4</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1.56</w:t>
            </w: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9</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2.75</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567"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自主创业</w:t>
            </w:r>
          </w:p>
        </w:tc>
        <w:tc>
          <w:tcPr>
            <w:tcW w:w="1201"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0</w:t>
            </w:r>
          </w:p>
        </w:tc>
        <w:tc>
          <w:tcPr>
            <w:tcW w:w="152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0.31</w:t>
            </w:r>
            <w:r>
              <w:rPr>
                <w:rFonts w:hint="default" w:ascii="Times New Roman" w:hAnsi="Times New Roman" w:eastAsia="宋体" w:cs="Times New Roman"/>
                <w:color w:val="000000"/>
                <w:kern w:val="0"/>
                <w:sz w:val="24"/>
                <w:szCs w:val="24"/>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AF1DD"/>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bl>
    <w:p>
      <w:pPr>
        <w:pStyle w:val="13"/>
        <w:spacing w:line="360" w:lineRule="auto"/>
        <w:jc w:val="both"/>
        <w:rPr>
          <w:rFonts w:hint="default" w:ascii="Times New Roman" w:hAnsi="Times New Roman" w:eastAsia="宋体" w:cs="Times New Roman"/>
          <w:kern w:val="2"/>
          <w:sz w:val="28"/>
          <w:szCs w:val="28"/>
        </w:rPr>
      </w:pPr>
      <w:r>
        <w:rPr>
          <w:rFonts w:hint="default" w:ascii="Times New Roman" w:hAnsi="Times New Roman" w:eastAsia="宋体" w:cs="Times New Roman"/>
          <w:color w:val="000000"/>
          <w:kern w:val="2"/>
          <w:sz w:val="21"/>
          <w:szCs w:val="22"/>
          <w:lang w:bidi="ar"/>
        </w:rPr>
        <w:t xml:space="preserve">    注：本</w:t>
      </w:r>
      <w:r>
        <w:rPr>
          <w:rFonts w:hint="eastAsia" w:ascii="Times New Roman" w:hAnsi="Times New Roman" w:eastAsia="宋体" w:cs="Times New Roman"/>
          <w:color w:val="000000"/>
          <w:kern w:val="2"/>
          <w:sz w:val="21"/>
          <w:szCs w:val="22"/>
          <w:lang w:eastAsia="zh-CN" w:bidi="ar"/>
        </w:rPr>
        <w:t>表</w:t>
      </w:r>
      <w:r>
        <w:rPr>
          <w:rFonts w:hint="default" w:ascii="Times New Roman" w:hAnsi="Times New Roman" w:eastAsia="宋体" w:cs="Times New Roman"/>
          <w:color w:val="000000"/>
          <w:kern w:val="2"/>
          <w:sz w:val="21"/>
          <w:szCs w:val="22"/>
          <w:lang w:bidi="ar"/>
        </w:rPr>
        <w:t>将毕业生就业单位性质分为机关单位</w:t>
      </w:r>
      <w:r>
        <w:rPr>
          <w:rFonts w:hint="eastAsia" w:ascii="Times New Roman" w:hAnsi="Times New Roman" w:eastAsia="宋体" w:cs="Times New Roman"/>
          <w:color w:val="000000"/>
          <w:kern w:val="2"/>
          <w:sz w:val="21"/>
          <w:szCs w:val="22"/>
          <w:lang w:eastAsia="zh-CN" w:bidi="ar"/>
        </w:rPr>
        <w:t>（包括部队和地方基层项目）</w:t>
      </w:r>
      <w:r>
        <w:rPr>
          <w:rFonts w:hint="default" w:ascii="Times New Roman" w:hAnsi="Times New Roman" w:eastAsia="宋体" w:cs="Times New Roman"/>
          <w:color w:val="000000"/>
          <w:kern w:val="2"/>
          <w:sz w:val="21"/>
          <w:szCs w:val="22"/>
          <w:lang w:bidi="ar"/>
        </w:rPr>
        <w:t>、其他事业单位、企业单位</w:t>
      </w:r>
      <w:r>
        <w:rPr>
          <w:rFonts w:hint="eastAsia" w:ascii="Times New Roman" w:hAnsi="Times New Roman" w:eastAsia="宋体" w:cs="Times New Roman"/>
          <w:color w:val="000000"/>
          <w:kern w:val="2"/>
          <w:sz w:val="21"/>
          <w:szCs w:val="22"/>
          <w:lang w:eastAsia="zh-CN" w:bidi="ar"/>
        </w:rPr>
        <w:t>（包括国有企业、三资企业以及其他企业）</w:t>
      </w:r>
      <w:r>
        <w:rPr>
          <w:rFonts w:hint="default" w:ascii="Times New Roman" w:hAnsi="Times New Roman" w:eastAsia="宋体" w:cs="Times New Roman"/>
          <w:color w:val="000000"/>
          <w:kern w:val="2"/>
          <w:sz w:val="21"/>
          <w:szCs w:val="22"/>
          <w:lang w:bidi="ar"/>
        </w:rPr>
        <w:t>、医疗卫生、自主创业以及继续深造与出国等几种类型。</w:t>
      </w:r>
    </w:p>
    <w:p>
      <w:pPr>
        <w:pStyle w:val="4"/>
        <w:numPr>
          <w:ilvl w:val="0"/>
          <w:numId w:val="0"/>
        </w:numPr>
        <w:spacing w:before="0" w:after="0" w:line="360" w:lineRule="auto"/>
        <w:ind w:leftChars="0" w:right="0" w:rightChars="0" w:firstLine="562" w:firstLineChars="200"/>
        <w:rPr>
          <w:rFonts w:hint="eastAsia" w:ascii="Times New Roman" w:hAnsi="Times New Roman" w:eastAsia="宋体" w:cs="Times New Roman"/>
          <w:szCs w:val="22"/>
          <w:highlight w:val="none"/>
          <w:lang w:eastAsia="zh-CN"/>
        </w:rPr>
      </w:pPr>
      <w:bookmarkStart w:id="42" w:name="_Toc14300"/>
      <w:bookmarkStart w:id="43" w:name="_Toc5666"/>
      <w:bookmarkStart w:id="44" w:name="_Toc20727"/>
      <w:bookmarkStart w:id="45" w:name="_Toc31430"/>
      <w:r>
        <w:rPr>
          <w:rFonts w:hint="eastAsia" w:ascii="Times New Roman" w:hAnsi="Times New Roman" w:eastAsia="宋体" w:cs="Times New Roman"/>
          <w:highlight w:val="none"/>
          <w:lang w:val="en-US" w:eastAsia="zh-CN"/>
        </w:rPr>
        <w:t>3、2022届与2021届</w:t>
      </w:r>
      <w:r>
        <w:rPr>
          <w:rFonts w:hint="eastAsia" w:ascii="Times New Roman" w:hAnsi="Times New Roman" w:eastAsia="宋体" w:cs="Times New Roman"/>
          <w:szCs w:val="22"/>
          <w:highlight w:val="none"/>
          <w:lang w:eastAsia="zh-CN"/>
        </w:rPr>
        <w:t>毕业生就业单位行业对比分析</w:t>
      </w:r>
    </w:p>
    <w:p>
      <w:pPr>
        <w:spacing w:line="360" w:lineRule="auto"/>
        <w:ind w:right="0" w:firstLine="560" w:firstLineChars="200"/>
        <w:jc w:val="both"/>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通过对我院历年来就业较为集中的几个单位行业对比分析得知，从事信息传输、软件和信息技术服务业的毕业生人数同去年相比出现较大幅度下降，减少25.44%；从事制造业行业2022届毕业生较2021届毕业生的就业比例上出现较大幅度上升，上升14.37%；从事电力、热力、燃气及水生产和供应业人数相比2021届幅度变化不明显；从事批发和零售业的人数相比2021届幅度有所上升，上升4.47%（表9）。</w:t>
      </w:r>
    </w:p>
    <w:p>
      <w:pPr>
        <w:spacing w:line="360" w:lineRule="auto"/>
        <w:ind w:right="0"/>
        <w:jc w:val="center"/>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表9  通信与电子工程学院2022届与2021届毕业生就业单位行业对比分析</w:t>
      </w:r>
    </w:p>
    <w:tbl>
      <w:tblPr>
        <w:tblStyle w:val="14"/>
        <w:tblW w:w="8733" w:type="dxa"/>
        <w:jc w:val="center"/>
        <w:tblLayout w:type="fixed"/>
        <w:tblCellMar>
          <w:top w:w="0" w:type="dxa"/>
          <w:left w:w="108" w:type="dxa"/>
          <w:bottom w:w="0" w:type="dxa"/>
          <w:right w:w="108" w:type="dxa"/>
        </w:tblCellMar>
      </w:tblPr>
      <w:tblGrid>
        <w:gridCol w:w="2139"/>
        <w:gridCol w:w="1201"/>
        <w:gridCol w:w="1520"/>
        <w:gridCol w:w="1233"/>
        <w:gridCol w:w="1560"/>
        <w:gridCol w:w="1080"/>
      </w:tblGrid>
      <w:tr>
        <w:tblPrEx>
          <w:tblCellMar>
            <w:top w:w="0" w:type="dxa"/>
            <w:left w:w="108" w:type="dxa"/>
            <w:bottom w:w="0" w:type="dxa"/>
            <w:right w:w="108" w:type="dxa"/>
          </w:tblCellMar>
        </w:tblPrEx>
        <w:trPr>
          <w:trHeight w:val="567" w:hRule="exact"/>
          <w:jc w:val="center"/>
        </w:trPr>
        <w:tc>
          <w:tcPr>
            <w:tcW w:w="2139"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lang w:bidi="ar"/>
              </w:rPr>
              <w:t>单位</w:t>
            </w:r>
            <w:r>
              <w:rPr>
                <w:rFonts w:hint="eastAsia" w:ascii="Times New Roman" w:hAnsi="Times New Roman" w:eastAsia="宋体" w:cs="Times New Roman"/>
                <w:b/>
                <w:kern w:val="0"/>
                <w:sz w:val="24"/>
                <w:lang w:eastAsia="zh-CN" w:bidi="ar"/>
              </w:rPr>
              <w:t>行业</w:t>
            </w:r>
          </w:p>
        </w:tc>
        <w:tc>
          <w:tcPr>
            <w:tcW w:w="2721"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2022届</w:t>
            </w:r>
          </w:p>
        </w:tc>
        <w:tc>
          <w:tcPr>
            <w:tcW w:w="2793"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2021届</w:t>
            </w:r>
          </w:p>
        </w:tc>
        <w:tc>
          <w:tcPr>
            <w:tcW w:w="1080"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趋势</w:t>
            </w:r>
          </w:p>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变化</w:t>
            </w:r>
          </w:p>
        </w:tc>
      </w:tr>
      <w:tr>
        <w:tblPrEx>
          <w:tblCellMar>
            <w:top w:w="0" w:type="dxa"/>
            <w:left w:w="108" w:type="dxa"/>
            <w:bottom w:w="0" w:type="dxa"/>
            <w:right w:w="108" w:type="dxa"/>
          </w:tblCellMar>
        </w:tblPrEx>
        <w:trPr>
          <w:trHeight w:val="567" w:hRule="exact"/>
          <w:jc w:val="center"/>
        </w:trPr>
        <w:tc>
          <w:tcPr>
            <w:tcW w:w="2139"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2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23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6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080"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bidi="ar"/>
              </w:rPr>
            </w:pP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rPr>
              <w:t>信息传输、软件和信息技术服务业</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bidi="ar-SA"/>
              </w:rPr>
              <w:t>69</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26.85%</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171</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b w:val="0"/>
                <w:bCs/>
                <w:color w:val="000000"/>
                <w:kern w:val="0"/>
                <w:sz w:val="22"/>
                <w:szCs w:val="22"/>
                <w:lang w:val="en-US" w:eastAsia="zh-CN" w:bidi="ar-SA"/>
              </w:rPr>
            </w:pPr>
            <w:r>
              <w:rPr>
                <w:rFonts w:hint="eastAsia" w:ascii="Times New Roman" w:hAnsi="Times New Roman" w:eastAsia="宋体" w:cs="Times New Roman"/>
                <w:b w:val="0"/>
                <w:bCs/>
                <w:color w:val="000000"/>
                <w:kern w:val="0"/>
                <w:sz w:val="22"/>
                <w:szCs w:val="22"/>
                <w:lang w:val="en-US" w:eastAsia="zh-CN" w:bidi="ar-SA"/>
              </w:rPr>
              <w:t>52.29%</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lang w:val="en-US" w:eastAsia="zh-CN" w:bidi="ar-SA"/>
              </w:rPr>
              <w:t>电力、热力、燃气及水生产和供应业</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bidi="ar-SA"/>
              </w:rPr>
              <w:t>23</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bidi="ar-SA"/>
              </w:rPr>
              <w:t>8.95%</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28</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8.56%</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val="en-US" w:eastAsia="zh-CN"/>
              </w:rPr>
              <w:t>制造业</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55</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21.40%</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23</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7.03%</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lang w:val="en-US" w:eastAsia="zh-CN" w:bidi="ar"/>
              </w:rPr>
              <w:t>批发和零售业</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rPr>
              <w:t>17</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6.61%</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7</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2.14%</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bl>
    <w:p>
      <w:pPr>
        <w:pStyle w:val="3"/>
        <w:shd w:val="clear"/>
        <w:spacing w:before="0" w:after="0" w:line="360" w:lineRule="auto"/>
        <w:rPr>
          <w:rFonts w:hint="eastAsia" w:ascii="Times New Roman" w:hAnsi="Times New Roman" w:eastAsia="宋体" w:cs="Times New Roman"/>
          <w:sz w:val="28"/>
          <w:szCs w:val="22"/>
          <w:lang w:eastAsia="zh-CN"/>
        </w:rPr>
      </w:pPr>
      <w:r>
        <w:rPr>
          <w:rFonts w:hint="eastAsia" w:ascii="Times New Roman" w:hAnsi="Times New Roman" w:eastAsia="宋体" w:cs="Times New Roman"/>
          <w:sz w:val="28"/>
          <w:szCs w:val="22"/>
          <w:lang w:val="en-US" w:eastAsia="zh-CN"/>
        </w:rPr>
        <w:t>4、2022届与2021届</w:t>
      </w:r>
      <w:r>
        <w:rPr>
          <w:rFonts w:hint="default" w:ascii="Times New Roman" w:hAnsi="Times New Roman" w:eastAsia="宋体" w:cs="Times New Roman"/>
          <w:sz w:val="28"/>
          <w:szCs w:val="22"/>
        </w:rPr>
        <w:t>毕业生就业区域流向趋势变化</w:t>
      </w:r>
      <w:r>
        <w:rPr>
          <w:rFonts w:hint="eastAsia" w:ascii="Times New Roman" w:hAnsi="Times New Roman" w:eastAsia="宋体" w:cs="Times New Roman"/>
          <w:sz w:val="28"/>
          <w:szCs w:val="22"/>
          <w:lang w:eastAsia="zh-CN"/>
        </w:rPr>
        <w:t>分析</w:t>
      </w:r>
    </w:p>
    <w:p>
      <w:pPr>
        <w:pStyle w:val="13"/>
        <w:keepNext w:val="0"/>
        <w:keepLines w:val="0"/>
        <w:pageBreakBefore w:val="0"/>
        <w:widowControl w:val="0"/>
        <w:shd w:val="clear"/>
        <w:kinsoku/>
        <w:wordWrap/>
        <w:overflowPunct/>
        <w:topLinePunct w:val="0"/>
        <w:autoSpaceDE/>
        <w:autoSpaceDN/>
        <w:bidi w:val="0"/>
        <w:adjustRightInd/>
        <w:snapToGrid/>
        <w:spacing w:line="560" w:lineRule="exact"/>
        <w:ind w:right="0" w:firstLine="560" w:firstLineChars="200"/>
        <w:jc w:val="both"/>
        <w:textAlignment w:val="auto"/>
        <w:rPr>
          <w:rFonts w:hint="default" w:ascii="Times New Roman" w:hAnsi="Times New Roman" w:eastAsia="宋体" w:cs="Times New Roman"/>
          <w:kern w:val="2"/>
          <w:sz w:val="28"/>
          <w:szCs w:val="28"/>
          <w:lang w:val="en-US" w:eastAsia="zh-CN" w:bidi="ar"/>
        </w:rPr>
      </w:pPr>
      <w:r>
        <w:rPr>
          <w:rFonts w:hint="eastAsia" w:ascii="Times New Roman" w:hAnsi="Times New Roman" w:eastAsia="宋体" w:cs="Times New Roman"/>
          <w:kern w:val="2"/>
          <w:sz w:val="28"/>
          <w:szCs w:val="28"/>
          <w:lang w:val="en-US" w:eastAsia="zh-CN" w:bidi="ar"/>
        </w:rPr>
        <w:t>根据对</w:t>
      </w:r>
      <w:r>
        <w:rPr>
          <w:rFonts w:hint="default" w:ascii="Times New Roman" w:hAnsi="Times New Roman" w:eastAsia="宋体" w:cs="Times New Roman"/>
          <w:kern w:val="2"/>
          <w:sz w:val="28"/>
          <w:szCs w:val="28"/>
          <w:lang w:val="en-US" w:eastAsia="zh-CN" w:bidi="ar"/>
        </w:rPr>
        <w:t>我院202</w:t>
      </w:r>
      <w:r>
        <w:rPr>
          <w:rFonts w:hint="eastAsia" w:ascii="Times New Roman" w:hAnsi="Times New Roman" w:eastAsia="宋体" w:cs="Times New Roman"/>
          <w:kern w:val="2"/>
          <w:sz w:val="28"/>
          <w:szCs w:val="28"/>
          <w:lang w:val="en-US" w:eastAsia="zh-CN" w:bidi="ar"/>
        </w:rPr>
        <w:t>2</w:t>
      </w:r>
      <w:r>
        <w:rPr>
          <w:rFonts w:hint="default" w:ascii="Times New Roman" w:hAnsi="Times New Roman" w:eastAsia="宋体" w:cs="Times New Roman"/>
          <w:kern w:val="2"/>
          <w:sz w:val="28"/>
          <w:szCs w:val="28"/>
          <w:lang w:val="en-US" w:eastAsia="zh-CN" w:bidi="ar"/>
        </w:rPr>
        <w:t>届毕业生</w:t>
      </w:r>
      <w:r>
        <w:rPr>
          <w:rFonts w:hint="eastAsia" w:ascii="Times New Roman" w:hAnsi="Times New Roman" w:eastAsia="宋体" w:cs="Times New Roman"/>
          <w:kern w:val="2"/>
          <w:sz w:val="28"/>
          <w:szCs w:val="28"/>
          <w:lang w:val="en-US" w:eastAsia="zh-CN" w:bidi="ar"/>
        </w:rPr>
        <w:t>与2021届毕业生</w:t>
      </w:r>
      <w:r>
        <w:rPr>
          <w:rFonts w:hint="default" w:ascii="Times New Roman" w:hAnsi="Times New Roman" w:eastAsia="宋体" w:cs="Times New Roman"/>
          <w:kern w:val="2"/>
          <w:sz w:val="28"/>
          <w:szCs w:val="28"/>
          <w:lang w:val="en-US" w:eastAsia="zh-CN" w:bidi="ar"/>
        </w:rPr>
        <w:t>地域流向</w:t>
      </w:r>
      <w:r>
        <w:rPr>
          <w:rFonts w:hint="eastAsia" w:ascii="Times New Roman" w:hAnsi="Times New Roman" w:eastAsia="宋体" w:cs="Times New Roman"/>
          <w:kern w:val="2"/>
          <w:sz w:val="28"/>
          <w:szCs w:val="28"/>
          <w:lang w:val="en-US" w:eastAsia="zh-CN" w:bidi="ar"/>
        </w:rPr>
        <w:t>趋势变化分析可知，2022届毕业生就业区域流向</w:t>
      </w:r>
      <w:r>
        <w:rPr>
          <w:rFonts w:hint="default" w:ascii="Times New Roman" w:hAnsi="Times New Roman" w:eastAsia="宋体" w:cs="Times New Roman"/>
          <w:kern w:val="2"/>
          <w:sz w:val="28"/>
          <w:szCs w:val="28"/>
          <w:lang w:val="en-US" w:eastAsia="zh-CN" w:bidi="ar"/>
        </w:rPr>
        <w:t>中原区域经济体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泛珠江三角洲区域经济体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泛长江三角洲区域经济体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泛渤海湾区域经济体西部生态经济区</w:t>
      </w:r>
      <w:r>
        <w:rPr>
          <w:rFonts w:hint="eastAsia" w:ascii="Times New Roman" w:hAnsi="Times New Roman" w:eastAsia="宋体" w:cs="Times New Roman"/>
          <w:kern w:val="2"/>
          <w:sz w:val="28"/>
          <w:szCs w:val="28"/>
          <w:lang w:val="en-US" w:eastAsia="zh-CN" w:bidi="ar"/>
        </w:rPr>
        <w:t>呈下降趋势；流向</w:t>
      </w:r>
      <w:r>
        <w:rPr>
          <w:rFonts w:hint="default" w:ascii="Times New Roman" w:hAnsi="Times New Roman" w:eastAsia="宋体" w:cs="Times New Roman"/>
          <w:kern w:val="2"/>
          <w:sz w:val="28"/>
          <w:szCs w:val="28"/>
          <w:lang w:val="en-US" w:eastAsia="zh-CN" w:bidi="ar"/>
        </w:rPr>
        <w:t>西南区域经济体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泛东北区域经济体</w:t>
      </w: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陕甘宁青区域经济体</w:t>
      </w:r>
      <w:r>
        <w:rPr>
          <w:rFonts w:hint="eastAsia" w:ascii="Times New Roman" w:hAnsi="Times New Roman" w:eastAsia="宋体" w:cs="Times New Roman"/>
          <w:kern w:val="2"/>
          <w:sz w:val="28"/>
          <w:szCs w:val="28"/>
          <w:lang w:val="en-US" w:eastAsia="zh-CN" w:bidi="ar"/>
        </w:rPr>
        <w:t>、其他地区有所上升；但整体而言变化趋势不大，主要还是集中在中原区域经济体。</w:t>
      </w:r>
      <w:r>
        <w:rPr>
          <w:rFonts w:hint="default" w:ascii="Times New Roman" w:hAnsi="Times New Roman" w:eastAsia="宋体" w:cs="Times New Roman"/>
          <w:kern w:val="2"/>
          <w:sz w:val="28"/>
          <w:szCs w:val="28"/>
          <w:lang w:val="en-US" w:eastAsia="zh-CN" w:bidi="ar"/>
        </w:rPr>
        <w:t>（表</w:t>
      </w:r>
      <w:r>
        <w:rPr>
          <w:rFonts w:hint="eastAsia" w:ascii="Times New Roman" w:hAnsi="Times New Roman" w:eastAsia="宋体" w:cs="Times New Roman"/>
          <w:kern w:val="2"/>
          <w:sz w:val="28"/>
          <w:szCs w:val="28"/>
          <w:lang w:val="en-US" w:eastAsia="zh-CN" w:bidi="ar"/>
        </w:rPr>
        <w:t>10</w:t>
      </w:r>
      <w:r>
        <w:rPr>
          <w:rFonts w:hint="default" w:ascii="Times New Roman" w:hAnsi="Times New Roman" w:eastAsia="宋体" w:cs="Times New Roman"/>
          <w:kern w:val="2"/>
          <w:sz w:val="28"/>
          <w:szCs w:val="28"/>
          <w:lang w:val="en-US" w:eastAsia="zh-CN" w:bidi="ar"/>
        </w:rPr>
        <w:t>）。</w:t>
      </w:r>
    </w:p>
    <w:p>
      <w:pPr>
        <w:pStyle w:val="13"/>
        <w:spacing w:line="560" w:lineRule="exact"/>
        <w:ind w:right="0"/>
        <w:jc w:val="center"/>
        <w:rPr>
          <w:rFonts w:hint="eastAsia"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10  2022届与2021届</w:t>
      </w:r>
      <w:r>
        <w:rPr>
          <w:rFonts w:hint="default" w:ascii="Times New Roman" w:hAnsi="Times New Roman" w:eastAsia="宋体" w:cs="Times New Roman"/>
          <w:b/>
          <w:bCs/>
          <w:color w:val="auto"/>
          <w:kern w:val="2"/>
          <w:sz w:val="24"/>
          <w:szCs w:val="24"/>
          <w:lang w:val="en-US" w:eastAsia="zh-CN" w:bidi="ar-SA"/>
        </w:rPr>
        <w:t>毕业生就业区域流向趋势变化</w:t>
      </w:r>
      <w:r>
        <w:rPr>
          <w:rFonts w:hint="eastAsia" w:ascii="Times New Roman" w:hAnsi="Times New Roman" w:eastAsia="宋体" w:cs="Times New Roman"/>
          <w:b/>
          <w:bCs/>
          <w:color w:val="auto"/>
          <w:kern w:val="2"/>
          <w:sz w:val="24"/>
          <w:szCs w:val="24"/>
          <w:lang w:val="en-US" w:eastAsia="zh-CN" w:bidi="ar-SA"/>
        </w:rPr>
        <w:t>分析</w:t>
      </w:r>
    </w:p>
    <w:tbl>
      <w:tblPr>
        <w:tblStyle w:val="14"/>
        <w:tblW w:w="8733" w:type="dxa"/>
        <w:jc w:val="center"/>
        <w:tblLayout w:type="fixed"/>
        <w:tblCellMar>
          <w:top w:w="0" w:type="dxa"/>
          <w:left w:w="108" w:type="dxa"/>
          <w:bottom w:w="0" w:type="dxa"/>
          <w:right w:w="108" w:type="dxa"/>
        </w:tblCellMar>
      </w:tblPr>
      <w:tblGrid>
        <w:gridCol w:w="2139"/>
        <w:gridCol w:w="1201"/>
        <w:gridCol w:w="1520"/>
        <w:gridCol w:w="1233"/>
        <w:gridCol w:w="1560"/>
        <w:gridCol w:w="1080"/>
      </w:tblGrid>
      <w:tr>
        <w:tblPrEx>
          <w:tblCellMar>
            <w:top w:w="0" w:type="dxa"/>
            <w:left w:w="108" w:type="dxa"/>
            <w:bottom w:w="0" w:type="dxa"/>
            <w:right w:w="108" w:type="dxa"/>
          </w:tblCellMar>
        </w:tblPrEx>
        <w:trPr>
          <w:trHeight w:val="567" w:hRule="exact"/>
          <w:jc w:val="center"/>
        </w:trPr>
        <w:tc>
          <w:tcPr>
            <w:tcW w:w="2139"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kern w:val="0"/>
                <w:sz w:val="24"/>
              </w:rPr>
            </w:pPr>
            <w:r>
              <w:rPr>
                <w:rFonts w:hint="default" w:ascii="Times New Roman" w:hAnsi="Times New Roman" w:eastAsia="宋体" w:cs="Times New Roman"/>
                <w:b/>
                <w:kern w:val="0"/>
                <w:sz w:val="24"/>
                <w:szCs w:val="24"/>
                <w:lang w:bidi="ar"/>
              </w:rPr>
              <w:t>地域名称</w:t>
            </w:r>
          </w:p>
        </w:tc>
        <w:tc>
          <w:tcPr>
            <w:tcW w:w="2721"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2022届</w:t>
            </w:r>
          </w:p>
        </w:tc>
        <w:tc>
          <w:tcPr>
            <w:tcW w:w="2793" w:type="dxa"/>
            <w:gridSpan w:val="2"/>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2021届</w:t>
            </w:r>
          </w:p>
        </w:tc>
        <w:tc>
          <w:tcPr>
            <w:tcW w:w="1080" w:type="dxa"/>
            <w:vMerge w:val="restart"/>
            <w:tcBorders>
              <w:top w:val="single" w:color="000000" w:sz="4" w:space="0"/>
              <w:left w:val="single" w:color="000000" w:sz="4" w:space="0"/>
              <w:right w:val="single" w:color="000000" w:sz="4" w:space="0"/>
            </w:tcBorders>
            <w:shd w:val="clear" w:color="auto" w:fill="DBE5F1"/>
            <w:vAlign w:val="center"/>
          </w:tcPr>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趋势</w:t>
            </w:r>
          </w:p>
          <w:p>
            <w:pPr>
              <w:widowControl/>
              <w:spacing w:line="240" w:lineRule="auto"/>
              <w:jc w:val="center"/>
              <w:rPr>
                <w:rFonts w:hint="eastAsia" w:ascii="Times New Roman" w:hAnsi="Times New Roman" w:eastAsia="宋体" w:cs="Times New Roman"/>
                <w:b/>
                <w:color w:val="000000"/>
                <w:kern w:val="0"/>
                <w:sz w:val="22"/>
                <w:szCs w:val="22"/>
                <w:lang w:val="en-US" w:eastAsia="zh-CN" w:bidi="ar"/>
              </w:rPr>
            </w:pPr>
            <w:r>
              <w:rPr>
                <w:rFonts w:hint="eastAsia" w:ascii="Times New Roman" w:hAnsi="Times New Roman" w:eastAsia="宋体" w:cs="Times New Roman"/>
                <w:b/>
                <w:color w:val="000000"/>
                <w:kern w:val="0"/>
                <w:sz w:val="22"/>
                <w:szCs w:val="22"/>
                <w:lang w:val="en-US" w:eastAsia="zh-CN" w:bidi="ar"/>
              </w:rPr>
              <w:t>变化</w:t>
            </w:r>
          </w:p>
        </w:tc>
      </w:tr>
      <w:tr>
        <w:tblPrEx>
          <w:tblCellMar>
            <w:top w:w="0" w:type="dxa"/>
            <w:left w:w="108" w:type="dxa"/>
            <w:bottom w:w="0" w:type="dxa"/>
            <w:right w:w="108" w:type="dxa"/>
          </w:tblCellMar>
        </w:tblPrEx>
        <w:trPr>
          <w:trHeight w:val="567" w:hRule="exact"/>
          <w:jc w:val="center"/>
        </w:trPr>
        <w:tc>
          <w:tcPr>
            <w:tcW w:w="2139"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jc w:val="center"/>
              <w:rPr>
                <w:rFonts w:hint="default" w:ascii="Times New Roman" w:hAnsi="Times New Roman" w:eastAsia="宋体" w:cs="Times New Roman"/>
                <w:b/>
                <w:kern w:val="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2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233"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auto"/>
                <w:kern w:val="0"/>
                <w:sz w:val="24"/>
                <w:szCs w:val="24"/>
                <w:lang w:val="en-US" w:eastAsia="zh-CN" w:bidi="ar-SA"/>
              </w:rPr>
            </w:pPr>
            <w:r>
              <w:rPr>
                <w:rFonts w:hint="default" w:ascii="Times New Roman" w:hAnsi="Times New Roman" w:eastAsia="宋体" w:cs="Times New Roman"/>
                <w:b/>
                <w:kern w:val="0"/>
                <w:sz w:val="24"/>
                <w:lang w:bidi="ar"/>
              </w:rPr>
              <w:t>人数</w:t>
            </w:r>
          </w:p>
        </w:tc>
        <w:tc>
          <w:tcPr>
            <w:tcW w:w="1560" w:type="dxa"/>
            <w:tcBorders>
              <w:top w:val="single" w:color="000000" w:sz="4" w:space="0"/>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val="en-US" w:eastAsia="zh-CN" w:bidi="ar-SA"/>
              </w:rPr>
            </w:pPr>
            <w:r>
              <w:rPr>
                <w:rFonts w:hint="default" w:ascii="Times New Roman" w:hAnsi="Times New Roman" w:eastAsia="宋体" w:cs="Times New Roman"/>
                <w:b/>
                <w:color w:val="000000"/>
                <w:kern w:val="0"/>
                <w:sz w:val="22"/>
                <w:szCs w:val="22"/>
                <w:lang w:bidi="ar"/>
              </w:rPr>
              <w:t>百分比（%）</w:t>
            </w:r>
          </w:p>
        </w:tc>
        <w:tc>
          <w:tcPr>
            <w:tcW w:w="1080" w:type="dxa"/>
            <w:vMerge w:val="continue"/>
            <w:tcBorders>
              <w:left w:val="single" w:color="000000" w:sz="4" w:space="0"/>
              <w:bottom w:val="single" w:color="000000" w:sz="4" w:space="0"/>
              <w:right w:val="single" w:color="000000" w:sz="4" w:space="0"/>
            </w:tcBorders>
            <w:shd w:val="clear" w:color="auto" w:fill="DBE5F1"/>
            <w:vAlign w:val="center"/>
          </w:tcPr>
          <w:p>
            <w:pPr>
              <w:widowControl/>
              <w:spacing w:line="240" w:lineRule="auto"/>
              <w:ind w:left="0" w:leftChars="0" w:right="0" w:rightChars="0" w:firstLine="0" w:firstLineChars="0"/>
              <w:jc w:val="center"/>
              <w:rPr>
                <w:rFonts w:hint="default" w:ascii="Times New Roman" w:hAnsi="Times New Roman" w:eastAsia="宋体" w:cs="Times New Roman"/>
                <w:b/>
                <w:color w:val="000000"/>
                <w:kern w:val="0"/>
                <w:sz w:val="22"/>
                <w:szCs w:val="22"/>
                <w:lang w:bidi="ar"/>
              </w:rPr>
            </w:pP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lang w:bidi="ar"/>
              </w:rPr>
              <w:t>中原区域经济体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104</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val="0"/>
                <w:bCs/>
                <w:kern w:val="0"/>
                <w:sz w:val="24"/>
                <w:szCs w:val="24"/>
                <w:lang w:val="en-US" w:eastAsia="zh-CN" w:bidi="ar"/>
              </w:rPr>
              <w:t>40.47</w:t>
            </w:r>
            <w:r>
              <w:rPr>
                <w:rFonts w:hint="default" w:ascii="Times New Roman" w:hAnsi="Times New Roman" w:eastAsia="宋体" w:cs="Times New Roman"/>
                <w:b w:val="0"/>
                <w:bCs/>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167</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51.23</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lang w:bidi="ar"/>
              </w:rPr>
              <w:t>泛珠江三角洲区域经济体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49</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val="0"/>
                <w:bCs/>
                <w:kern w:val="0"/>
                <w:sz w:val="24"/>
                <w:szCs w:val="24"/>
                <w:lang w:val="en-US" w:eastAsia="zh-CN"/>
              </w:rPr>
              <w:t>19.07</w:t>
            </w:r>
            <w:r>
              <w:rPr>
                <w:rFonts w:hint="default" w:ascii="Times New Roman" w:hAnsi="Times New Roman" w:eastAsia="宋体" w:cs="Times New Roman"/>
                <w:b w:val="0"/>
                <w:bCs/>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66</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rPr>
              <w:t>20.25</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泛长江三角洲区域经济体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color w:val="auto"/>
                <w:kern w:val="0"/>
                <w:sz w:val="24"/>
                <w:szCs w:val="24"/>
                <w:lang w:val="en-US" w:eastAsia="zh-CN" w:bidi="ar-SA"/>
              </w:rPr>
              <w:t>18</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val="0"/>
                <w:bCs/>
                <w:kern w:val="0"/>
                <w:sz w:val="24"/>
                <w:szCs w:val="24"/>
                <w:lang w:val="en-US" w:eastAsia="zh-CN" w:bidi="ar"/>
              </w:rPr>
              <w:t>7.00</w:t>
            </w:r>
            <w:r>
              <w:rPr>
                <w:rFonts w:hint="default" w:ascii="Times New Roman" w:hAnsi="Times New Roman" w:eastAsia="宋体" w:cs="Times New Roman"/>
                <w:b w:val="0"/>
                <w:bCs/>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28</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8.59</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泛渤海湾区域经济体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color w:val="auto"/>
                <w:kern w:val="0"/>
                <w:sz w:val="24"/>
                <w:szCs w:val="24"/>
                <w:lang w:val="en-US" w:eastAsia="zh-CN" w:bidi="ar-SA"/>
              </w:rPr>
              <w:t>4</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val="0"/>
                <w:bCs/>
                <w:kern w:val="0"/>
                <w:sz w:val="24"/>
                <w:szCs w:val="24"/>
                <w:lang w:val="en-US" w:eastAsia="zh-CN" w:bidi="ar"/>
              </w:rPr>
              <w:t>1.56</w:t>
            </w:r>
            <w:r>
              <w:rPr>
                <w:rFonts w:hint="default" w:ascii="Times New Roman" w:hAnsi="Times New Roman" w:eastAsia="宋体" w:cs="Times New Roman"/>
                <w:b w:val="0"/>
                <w:bCs/>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14</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4.29</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西南区域经济体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10</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val="0"/>
                <w:bCs/>
                <w:kern w:val="0"/>
                <w:sz w:val="24"/>
                <w:szCs w:val="24"/>
                <w:lang w:val="en-US" w:eastAsia="zh-CN" w:bidi="ar"/>
              </w:rPr>
              <w:t>3.89</w:t>
            </w:r>
            <w:r>
              <w:rPr>
                <w:rFonts w:hint="default" w:ascii="Times New Roman" w:hAnsi="Times New Roman" w:eastAsia="宋体" w:cs="Times New Roman"/>
                <w:b w:val="0"/>
                <w:bCs/>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10</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3.06</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0"/>
                <w:sz w:val="24"/>
                <w:szCs w:val="24"/>
                <w:lang w:bidi="ar"/>
              </w:rPr>
              <w:t>西部生态经济区</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val="0"/>
                <w:bCs/>
                <w:kern w:val="0"/>
                <w:sz w:val="24"/>
                <w:szCs w:val="24"/>
                <w:lang w:val="en-US" w:eastAsia="zh-CN" w:bidi="ar"/>
              </w:rPr>
              <w:t>1.17</w:t>
            </w:r>
            <w:r>
              <w:rPr>
                <w:rFonts w:hint="default" w:ascii="Times New Roman" w:hAnsi="Times New Roman" w:eastAsia="宋体" w:cs="Times New Roman"/>
                <w:b w:val="0"/>
                <w:bCs/>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rPr>
              <w:t>7</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2.15</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下降</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rPr>
              <w:t>泛东北区域经济体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color w:val="auto"/>
                <w:kern w:val="0"/>
                <w:sz w:val="24"/>
                <w:szCs w:val="24"/>
                <w:lang w:val="en-US" w:eastAsia="zh-CN" w:bidi="ar-SA"/>
              </w:rPr>
              <w:t>3</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val="0"/>
                <w:bCs/>
                <w:kern w:val="0"/>
                <w:sz w:val="24"/>
                <w:szCs w:val="24"/>
                <w:lang w:val="en-US" w:eastAsia="zh-CN" w:bidi="ar"/>
              </w:rPr>
              <w:t>1.17</w:t>
            </w:r>
            <w:r>
              <w:rPr>
                <w:rFonts w:hint="default" w:ascii="Times New Roman" w:hAnsi="Times New Roman" w:eastAsia="宋体" w:cs="Times New Roman"/>
                <w:b w:val="0"/>
                <w:bCs/>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0.61</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kern w:val="0"/>
                <w:sz w:val="24"/>
                <w:szCs w:val="24"/>
                <w:lang w:bidi="ar"/>
              </w:rPr>
              <w:t>陕甘宁青区域经济体</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color w:val="auto"/>
                <w:kern w:val="0"/>
                <w:sz w:val="24"/>
                <w:szCs w:val="24"/>
                <w:lang w:val="en-US" w:eastAsia="zh-CN" w:bidi="ar-SA"/>
              </w:rPr>
              <w:t>5</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val="0"/>
                <w:bCs/>
                <w:kern w:val="0"/>
                <w:sz w:val="24"/>
                <w:szCs w:val="24"/>
                <w:lang w:val="en-US" w:eastAsia="zh-CN" w:bidi="ar"/>
              </w:rPr>
              <w:t>1.95</w:t>
            </w:r>
            <w:r>
              <w:rPr>
                <w:rFonts w:hint="default" w:ascii="Times New Roman" w:hAnsi="Times New Roman" w:eastAsia="宋体" w:cs="Times New Roman"/>
                <w:b w:val="0"/>
                <w:bCs/>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0.92</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上升</w:t>
            </w:r>
          </w:p>
        </w:tc>
      </w:tr>
      <w:tr>
        <w:tblPrEx>
          <w:tblCellMar>
            <w:top w:w="0" w:type="dxa"/>
            <w:left w:w="108" w:type="dxa"/>
            <w:bottom w:w="0" w:type="dxa"/>
            <w:right w:w="108" w:type="dxa"/>
          </w:tblCellMar>
        </w:tblPrEx>
        <w:trPr>
          <w:trHeight w:val="624" w:hRule="exact"/>
          <w:jc w:val="center"/>
        </w:trPr>
        <w:tc>
          <w:tcPr>
            <w:tcW w:w="2139" w:type="dxa"/>
            <w:tcBorders>
              <w:top w:val="single" w:color="000000" w:sz="4" w:space="0"/>
              <w:left w:val="single" w:color="000000" w:sz="4" w:space="0"/>
              <w:bottom w:val="single" w:color="000000" w:sz="4" w:space="0"/>
              <w:right w:val="single" w:color="000000" w:sz="4" w:space="0"/>
            </w:tcBorders>
            <w:shd w:val="clear" w:color="auto" w:fill="DBE5F1"/>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bidi="ar"/>
              </w:rPr>
            </w:pPr>
            <w:r>
              <w:rPr>
                <w:rFonts w:hint="default" w:ascii="Times New Roman" w:hAnsi="Times New Roman" w:eastAsia="宋体" w:cs="Times New Roman"/>
                <w:kern w:val="0"/>
                <w:sz w:val="24"/>
                <w:szCs w:val="24"/>
              </w:rPr>
              <w:t>其他</w:t>
            </w:r>
          </w:p>
        </w:tc>
        <w:tc>
          <w:tcPr>
            <w:tcW w:w="120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color w:val="000000"/>
                <w:kern w:val="0"/>
                <w:sz w:val="24"/>
                <w:szCs w:val="24"/>
                <w:lang w:val="en-US" w:eastAsia="zh-CN"/>
              </w:rPr>
              <w:t>61</w:t>
            </w:r>
          </w:p>
        </w:tc>
        <w:tc>
          <w:tcPr>
            <w:tcW w:w="152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b w:val="0"/>
                <w:bCs/>
                <w:kern w:val="0"/>
                <w:sz w:val="24"/>
                <w:szCs w:val="24"/>
                <w:lang w:val="en-US" w:eastAsia="zh-CN" w:bidi="ar"/>
              </w:rPr>
              <w:t>23.74</w:t>
            </w:r>
            <w:r>
              <w:rPr>
                <w:rFonts w:hint="default" w:ascii="Times New Roman" w:hAnsi="Times New Roman" w:eastAsia="宋体" w:cs="Times New Roman"/>
                <w:b w:val="0"/>
                <w:bCs/>
                <w:kern w:val="0"/>
                <w:sz w:val="24"/>
                <w:szCs w:val="24"/>
                <w:lang w:bidi="ar"/>
              </w:rPr>
              <w:t>%</w:t>
            </w:r>
          </w:p>
        </w:tc>
        <w:tc>
          <w:tcPr>
            <w:tcW w:w="123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rPr>
              <w:t>29</w:t>
            </w:r>
          </w:p>
        </w:tc>
        <w:tc>
          <w:tcPr>
            <w:tcW w:w="156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b w:val="0"/>
                <w:bCs/>
                <w:kern w:val="0"/>
                <w:sz w:val="24"/>
                <w:szCs w:val="24"/>
                <w:lang w:val="en-US" w:eastAsia="zh-CN" w:bidi="ar"/>
              </w:rPr>
              <w:t>8.90</w:t>
            </w:r>
            <w:r>
              <w:rPr>
                <w:rFonts w:hint="default" w:ascii="Times New Roman" w:hAnsi="Times New Roman" w:eastAsia="宋体" w:cs="Times New Roman"/>
                <w:b w:val="0"/>
                <w:bCs/>
                <w:kern w:val="0"/>
                <w:sz w:val="24"/>
                <w:szCs w:val="24"/>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spacing w:line="240" w:lineRule="auto"/>
              <w:ind w:left="0" w:leftChars="0" w:right="0" w:rightChars="0" w:firstLine="0" w:firstLineChars="0"/>
              <w:jc w:val="center"/>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上升</w:t>
            </w:r>
          </w:p>
        </w:tc>
      </w:tr>
    </w:tbl>
    <w:p>
      <w:pPr>
        <w:keepNext w:val="0"/>
        <w:keepLines w:val="0"/>
        <w:pageBreakBefore w:val="0"/>
        <w:widowControl w:val="0"/>
        <w:tabs>
          <w:tab w:val="left" w:pos="6451"/>
        </w:tabs>
        <w:kinsoku/>
        <w:wordWrap/>
        <w:overflowPunct/>
        <w:topLinePunct w:val="0"/>
        <w:autoSpaceDE/>
        <w:autoSpaceDN/>
        <w:bidi w:val="0"/>
        <w:adjustRightInd/>
        <w:snapToGrid/>
        <w:jc w:val="both"/>
        <w:textAlignment w:val="auto"/>
        <w:rPr>
          <w:rFonts w:hint="default" w:ascii="Times New Roman" w:hAnsi="Times New Roman" w:eastAsia="宋体" w:cs="Times New Roman"/>
        </w:rPr>
      </w:pPr>
      <w:r>
        <w:rPr>
          <w:rFonts w:hint="default" w:ascii="Times New Roman" w:hAnsi="Times New Roman" w:eastAsia="宋体" w:cs="Times New Roman"/>
          <w:spacing w:val="-2"/>
          <w:sz w:val="18"/>
          <w:szCs w:val="18"/>
          <w:lang w:bidi="ar"/>
        </w:rPr>
        <w:t>注：本报告按八大区域经济体划分毕业生地域流向，分别是中原区域经济体（河南、湖北、湖南）、泛珠江三角洲区域经济体（广东、广西、福建、海南）、泛长江三角洲区域经济体（上海、江苏、浙江、江西、安徽）、泛渤海湾区域经济体（北京、天津、山东、河北、内蒙古、山西）、西南区域经济体（重庆、四川、贵州、云南）、西部生态经济区（西藏、新疆）、泛东北区域经济体（黑龙江、吉林、辽</w:t>
      </w:r>
      <w:r>
        <w:rPr>
          <w:rFonts w:hint="eastAsia" w:ascii="Times New Roman" w:hAnsi="Times New Roman" w:eastAsia="宋体" w:cs="Times New Roman"/>
          <w:spacing w:val="-2"/>
          <w:sz w:val="18"/>
          <w:szCs w:val="18"/>
          <w:lang w:eastAsia="zh-CN" w:bidi="ar"/>
        </w:rPr>
        <w:t>宁</w:t>
      </w:r>
      <w:r>
        <w:rPr>
          <w:rFonts w:hint="default" w:ascii="Times New Roman" w:hAnsi="Times New Roman" w:eastAsia="宋体" w:cs="Times New Roman"/>
          <w:spacing w:val="-2"/>
          <w:sz w:val="18"/>
          <w:szCs w:val="18"/>
          <w:lang w:bidi="ar"/>
        </w:rPr>
        <w:t>）、陕甘宁青区域经济体（陕西、甘肃、宁夏、青海）。</w:t>
      </w:r>
    </w:p>
    <w:bookmarkEnd w:id="42"/>
    <w:bookmarkEnd w:id="43"/>
    <w:bookmarkEnd w:id="44"/>
    <w:bookmarkEnd w:id="45"/>
    <w:p>
      <w:pPr>
        <w:pStyle w:val="2"/>
        <w:ind w:firstLine="562" w:firstLineChars="200"/>
        <w:rPr>
          <w:rFonts w:hint="eastAsia" w:ascii="Times New Roman" w:hAnsi="Times New Roman" w:eastAsia="宋体" w:cs="Times New Roman"/>
          <w:color w:val="auto"/>
          <w:sz w:val="28"/>
          <w:szCs w:val="28"/>
          <w:lang w:eastAsia="zh-CN"/>
        </w:rPr>
      </w:pPr>
      <w:bookmarkStart w:id="46" w:name="_Toc25455"/>
      <w:bookmarkStart w:id="47" w:name="_Toc3553"/>
      <w:bookmarkStart w:id="48" w:name="_Toc11321"/>
      <w:bookmarkStart w:id="49" w:name="_Toc3005"/>
      <w:bookmarkStart w:id="50" w:name="_Toc8752"/>
      <w:r>
        <w:rPr>
          <w:rFonts w:hint="eastAsia" w:ascii="Times New Roman" w:hAnsi="Times New Roman" w:eastAsia="宋体" w:cs="Times New Roman"/>
          <w:color w:val="auto"/>
          <w:sz w:val="28"/>
          <w:szCs w:val="28"/>
          <w:lang w:eastAsia="zh-CN"/>
        </w:rPr>
        <w:t>四、</w:t>
      </w:r>
      <w:r>
        <w:rPr>
          <w:rFonts w:hint="eastAsia" w:ascii="Times New Roman" w:hAnsi="Times New Roman" w:eastAsia="宋体" w:cs="Times New Roman"/>
          <w:color w:val="auto"/>
          <w:sz w:val="28"/>
          <w:szCs w:val="28"/>
          <w:lang w:val="en-US" w:eastAsia="zh-CN"/>
        </w:rPr>
        <w:t>2022年</w:t>
      </w:r>
      <w:r>
        <w:rPr>
          <w:rFonts w:hint="eastAsia" w:ascii="Times New Roman" w:hAnsi="Times New Roman" w:eastAsia="宋体" w:cs="Times New Roman"/>
          <w:color w:val="auto"/>
          <w:sz w:val="28"/>
          <w:szCs w:val="28"/>
          <w:lang w:eastAsia="zh-CN"/>
        </w:rPr>
        <w:t>就业创业工作评价</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_Toc9908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（一）用人单位评价</w:t>
      </w:r>
      <w:r>
        <w:rPr>
          <w:rFonts w:hint="default" w:ascii="Times New Roman" w:hAnsi="Times New Roman" w:eastAsia="宋体" w:cs="Times New Roman"/>
          <w:color w:val="auto"/>
          <w:kern w:val="2"/>
          <w:sz w:val="28"/>
          <w:szCs w:val="28"/>
          <w:highlight w:val="none"/>
          <w:lang w:val="en-US" w:eastAsia="zh-CN" w:bidi="ar"/>
        </w:rPr>
        <w:fldChar w:fldCharType="end"/>
      </w:r>
    </w:p>
    <w:p>
      <w:pPr>
        <w:widowControl/>
        <w:spacing w:line="360" w:lineRule="auto"/>
        <w:ind w:firstLine="560" w:firstLineChars="20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color w:val="auto"/>
          <w:kern w:val="2"/>
          <w:sz w:val="28"/>
          <w:szCs w:val="28"/>
          <w:lang w:val="en-US" w:eastAsia="zh-CN" w:bidi="ar"/>
        </w:rPr>
        <w:t>2022年8月-12月，学院向建立了长期稳定合作的用人单位进行抽样调查，发放调查问卷45份，有效问卷45份。抽样调查的用人单位主要分布在湖南省内、长三角区域、珠三角区域等地区，其中企业单位覆盖了信息传输、软件和信息技术服务业，制造业，教育，建筑业，农、林、牧、渔业等。</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_Toc19412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1、用人单位对我院毕业生综合素质的评价</w:t>
      </w:r>
      <w:r>
        <w:rPr>
          <w:rFonts w:hint="default" w:ascii="Times New Roman" w:hAnsi="Times New Roman" w:eastAsia="宋体" w:cs="Times New Roman"/>
          <w:color w:val="auto"/>
          <w:kern w:val="2"/>
          <w:sz w:val="28"/>
          <w:szCs w:val="28"/>
          <w:highlight w:val="none"/>
          <w:lang w:val="en-US" w:eastAsia="zh-CN" w:bidi="ar"/>
        </w:rPr>
        <w:fldChar w:fldCharType="end"/>
      </w:r>
    </w:p>
    <w:p>
      <w:pPr>
        <w:widowControl/>
        <w:spacing w:line="360" w:lineRule="auto"/>
        <w:ind w:firstLine="640"/>
        <w:jc w:val="both"/>
        <w:rPr>
          <w:rFonts w:hint="eastAsia" w:ascii="Times New Roman" w:hAnsi="Times New Roman" w:eastAsia="宋体" w:cs="Times New Roman"/>
          <w:color w:val="auto"/>
          <w:kern w:val="2"/>
          <w:sz w:val="28"/>
          <w:szCs w:val="28"/>
          <w:highlight w:val="none"/>
          <w:lang w:val="en-US" w:eastAsia="zh-CN" w:bidi="ar"/>
        </w:rPr>
      </w:pPr>
      <w:r>
        <w:rPr>
          <w:rFonts w:hint="eastAsia" w:ascii="Times New Roman" w:hAnsi="Times New Roman" w:eastAsia="宋体" w:cs="Times New Roman"/>
          <w:color w:val="auto"/>
          <w:kern w:val="2"/>
          <w:sz w:val="28"/>
          <w:szCs w:val="28"/>
          <w:highlight w:val="none"/>
          <w:lang w:val="en-US" w:eastAsia="zh-CN" w:bidi="ar"/>
        </w:rPr>
        <w:t>用人单位对我院毕业生的思想政治与道德素质、工作态度、专业水平、职业能力、匹配度等方面的评价总体较好，对我院2022届毕业生综合素质满意度为95.4%，其中满意度最高的是思想政治与道德品质为100%，其次是工作态度和工作岗位匹配度为96%，最后是职业能力和专业水平分别为93%和92%。</w:t>
      </w:r>
    </w:p>
    <w:p>
      <w:pPr>
        <w:widowControl/>
        <w:spacing w:line="360" w:lineRule="auto"/>
        <w:ind w:firstLine="640"/>
        <w:jc w:val="both"/>
        <w:rPr>
          <w:rFonts w:hint="default" w:ascii="Times New Roman" w:hAnsi="Times New Roman" w:eastAsia="宋体" w:cs="Times New Roman"/>
          <w:color w:val="auto"/>
          <w:kern w:val="2"/>
          <w:sz w:val="28"/>
          <w:szCs w:val="28"/>
          <w:highlight w:val="yellow"/>
          <w:lang w:val="en-US" w:eastAsia="zh-CN" w:bidi="ar"/>
        </w:rPr>
      </w:pPr>
      <w:r>
        <w:rPr>
          <w:rFonts w:hint="default" w:ascii="Times New Roman" w:hAnsi="Times New Roman" w:eastAsia="宋体" w:cs="Times New Roman"/>
          <w:color w:val="auto"/>
          <w:kern w:val="2"/>
          <w:sz w:val="28"/>
          <w:szCs w:val="28"/>
          <w:highlight w:val="yellow"/>
          <w:lang w:val="en-US" w:eastAsia="zh-CN" w:bidi="ar"/>
        </w:rPr>
        <w:drawing>
          <wp:inline distT="0" distB="0" distL="114300" distR="114300">
            <wp:extent cx="4337685" cy="2876550"/>
            <wp:effectExtent l="4445" t="4445" r="20320" b="14605"/>
            <wp:docPr id="11" name="图表 11" descr="7b0a202020202263686172745265734964223a202232303437313536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_Toc19002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2、用人单位对我院就业创业工作的评价</w:t>
      </w:r>
      <w:r>
        <w:rPr>
          <w:rFonts w:hint="default" w:ascii="Times New Roman" w:hAnsi="Times New Roman" w:eastAsia="宋体" w:cs="Times New Roman"/>
          <w:color w:val="auto"/>
          <w:kern w:val="2"/>
          <w:sz w:val="28"/>
          <w:szCs w:val="28"/>
          <w:highlight w:val="none"/>
          <w:lang w:val="en-US" w:eastAsia="zh-CN" w:bidi="ar"/>
        </w:rPr>
        <w:fldChar w:fldCharType="end"/>
      </w:r>
    </w:p>
    <w:p>
      <w:pPr>
        <w:widowControl/>
        <w:spacing w:line="360" w:lineRule="auto"/>
        <w:ind w:firstLine="560" w:firstLineChars="200"/>
        <w:jc w:val="both"/>
        <w:rPr>
          <w:rFonts w:hint="eastAsia" w:ascii="Times New Roman" w:hAnsi="Times New Roman" w:eastAsia="宋体" w:cs="Times New Roman"/>
          <w:color w:val="auto"/>
          <w:kern w:val="2"/>
          <w:sz w:val="28"/>
          <w:szCs w:val="28"/>
          <w:highlight w:val="none"/>
          <w:lang w:val="en-US" w:eastAsia="zh-CN" w:bidi="ar"/>
        </w:rPr>
      </w:pPr>
      <w:r>
        <w:rPr>
          <w:rFonts w:hint="eastAsia" w:ascii="Times New Roman" w:hAnsi="Times New Roman" w:eastAsia="宋体" w:cs="Times New Roman"/>
          <w:color w:val="auto"/>
          <w:kern w:val="2"/>
          <w:sz w:val="28"/>
          <w:szCs w:val="28"/>
          <w:highlight w:val="none"/>
          <w:lang w:val="en-US" w:eastAsia="zh-CN" w:bidi="ar"/>
        </w:rPr>
        <w:t>经调查，用人单位对我院就业创业工作给予了较高的评价，其中对我院校园招聘服务工作水平非常满意占97.78%，对我院学生就业指导服务水平工作非常满意占95.56%。</w:t>
      </w:r>
    </w:p>
    <w:p>
      <w:pPr>
        <w:widowControl/>
        <w:spacing w:line="360" w:lineRule="auto"/>
        <w:ind w:firstLine="640"/>
        <w:jc w:val="center"/>
        <w:rPr>
          <w:rFonts w:hint="eastAsia" w:asciiTheme="minorEastAsia" w:hAnsiTheme="minorEastAsia" w:eastAsiaTheme="minorEastAsia" w:cstheme="minorEastAsia"/>
          <w:b/>
          <w:bCs/>
          <w:color w:val="auto"/>
          <w:kern w:val="2"/>
          <w:sz w:val="21"/>
          <w:szCs w:val="21"/>
          <w:highlight w:val="none"/>
          <w:lang w:val="en-US" w:eastAsia="zh-CN" w:bidi="ar"/>
        </w:rPr>
      </w:pPr>
      <w:r>
        <w:rPr>
          <w:rFonts w:hint="eastAsia" w:asciiTheme="minorEastAsia" w:hAnsiTheme="minorEastAsia" w:eastAsiaTheme="minorEastAsia" w:cstheme="minorEastAsia"/>
          <w:b/>
          <w:bCs/>
          <w:color w:val="auto"/>
          <w:kern w:val="2"/>
          <w:sz w:val="21"/>
          <w:szCs w:val="21"/>
          <w:highlight w:val="none"/>
          <w:lang w:val="en-US" w:eastAsia="zh-CN" w:bidi="ar"/>
        </w:rPr>
        <w:t xml:space="preserve">图6 </w:t>
      </w:r>
      <w:r>
        <w:rPr>
          <w:rFonts w:hint="eastAsia" w:asciiTheme="minorEastAsia" w:hAnsiTheme="minorEastAsia" w:eastAsiaTheme="minorEastAsia" w:cstheme="minorEastAsia"/>
          <w:b/>
          <w:bCs/>
          <w:sz w:val="21"/>
          <w:szCs w:val="21"/>
        </w:rPr>
        <w:t>用人单位对我院就业创业工作的评价</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8"/>
          <w:szCs w:val="28"/>
          <w:highlight w:val="yellow"/>
          <w:lang w:val="en-US" w:eastAsia="zh-CN" w:bidi="ar"/>
        </w:rPr>
      </w:pPr>
      <w:r>
        <w:rPr>
          <w:rFonts w:hint="default" w:ascii="Times New Roman" w:hAnsi="Times New Roman" w:eastAsia="宋体" w:cs="Times New Roman"/>
          <w:color w:val="auto"/>
          <w:kern w:val="2"/>
          <w:sz w:val="28"/>
          <w:szCs w:val="28"/>
          <w:highlight w:val="yellow"/>
          <w:lang w:val="en-US" w:eastAsia="zh-CN" w:bidi="ar"/>
        </w:rPr>
        <w:drawing>
          <wp:inline distT="0" distB="0" distL="114300" distR="114300">
            <wp:extent cx="4775835" cy="3126105"/>
            <wp:effectExtent l="4445" t="4445" r="20320" b="12700"/>
            <wp:docPr id="17" name="图表 17" title="图6 用人单位对我院就业创业工作的评价"/>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_Toc11831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（二）毕业生评价</w:t>
      </w:r>
      <w:r>
        <w:rPr>
          <w:rFonts w:hint="default" w:ascii="Times New Roman" w:hAnsi="Times New Roman" w:eastAsia="宋体" w:cs="Times New Roman"/>
          <w:color w:val="auto"/>
          <w:kern w:val="2"/>
          <w:sz w:val="28"/>
          <w:szCs w:val="28"/>
          <w:highlight w:val="none"/>
          <w:lang w:val="en-US" w:eastAsia="zh-CN" w:bidi="ar"/>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eastAsia" w:ascii="Times New Roman" w:hAnsi="Times New Roman" w:eastAsia="宋体" w:cs="Times New Roman"/>
          <w:color w:val="auto"/>
          <w:kern w:val="2"/>
          <w:sz w:val="28"/>
          <w:szCs w:val="28"/>
          <w:highlight w:val="none"/>
          <w:lang w:val="en-US" w:eastAsia="zh-CN" w:bidi="ar"/>
        </w:rPr>
        <w:t>随机抽取部分已就业毕业生对用人单位以及学院就业创业工作进行调查，累计“一对一”发放电子问卷288份，回收有效问卷284份。</w:t>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_Toc15680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1、毕业生对用人单位的评价</w:t>
      </w:r>
      <w:r>
        <w:rPr>
          <w:rFonts w:hint="default" w:ascii="Times New Roman" w:hAnsi="Times New Roman" w:eastAsia="宋体" w:cs="Times New Roman"/>
          <w:color w:val="auto"/>
          <w:kern w:val="2"/>
          <w:sz w:val="28"/>
          <w:szCs w:val="28"/>
          <w:highlight w:val="none"/>
          <w:lang w:val="en-US" w:eastAsia="zh-CN" w:bidi="ar"/>
        </w:rPr>
        <w:fldChar w:fldCharType="end"/>
      </w:r>
    </w:p>
    <w:p>
      <w:pPr>
        <w:pStyle w:val="26"/>
        <w:spacing w:line="360" w:lineRule="auto"/>
        <w:ind w:firstLine="640"/>
        <w:rPr>
          <w:rFonts w:hint="eastAsia" w:asciiTheme="minorEastAsia" w:hAnsiTheme="minorEastAsia" w:eastAsiaTheme="minorEastAsia" w:cstheme="minorEastAsia"/>
          <w:color w:val="auto"/>
          <w:kern w:val="2"/>
          <w:sz w:val="28"/>
          <w:szCs w:val="28"/>
          <w:highlight w:val="none"/>
          <w:lang w:val="en-US" w:eastAsia="zh-CN" w:bidi="ar"/>
        </w:rPr>
      </w:pPr>
      <w:r>
        <w:rPr>
          <w:rFonts w:hint="eastAsia" w:asciiTheme="minorEastAsia" w:hAnsiTheme="minorEastAsia" w:eastAsiaTheme="minorEastAsia" w:cstheme="minorEastAsia"/>
          <w:color w:val="auto"/>
          <w:kern w:val="2"/>
          <w:sz w:val="28"/>
          <w:szCs w:val="28"/>
          <w:highlight w:val="none"/>
          <w:lang w:val="en-US" w:eastAsia="zh-CN" w:bidi="ar"/>
        </w:rPr>
        <w:t>通过随机抽样100名毕业生对当前工作满意度调查，“非常满意”的占13.00%，“比较满意”的占34.00%，“满意”的占46.00%。整体而言，我院2022届毕业生对用人单位的满意度较高（图7）。</w:t>
      </w:r>
    </w:p>
    <w:p>
      <w:pPr>
        <w:jc w:val="center"/>
        <w:rPr>
          <w:rFonts w:hint="default"/>
          <w:lang w:val="en-US" w:eastAsia="zh-CN"/>
        </w:rPr>
      </w:pPr>
      <w:r>
        <w:rPr>
          <w:rFonts w:hint="default"/>
          <w:lang w:val="en-US" w:eastAsia="zh-CN"/>
        </w:rPr>
        <w:drawing>
          <wp:inline distT="0" distB="0" distL="114300" distR="114300">
            <wp:extent cx="4727575" cy="3286125"/>
            <wp:effectExtent l="4445" t="4445" r="11430" b="508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
        </w:rPr>
      </w:pPr>
      <w:r>
        <w:rPr>
          <w:rFonts w:hint="default" w:ascii="Times New Roman" w:hAnsi="Times New Roman" w:eastAsia="宋体" w:cs="Times New Roman"/>
          <w:color w:val="auto"/>
          <w:kern w:val="2"/>
          <w:sz w:val="28"/>
          <w:szCs w:val="28"/>
          <w:highlight w:val="none"/>
          <w:lang w:val="en-US" w:eastAsia="zh-CN" w:bidi="ar"/>
        </w:rPr>
        <w:fldChar w:fldCharType="begin"/>
      </w:r>
      <w:r>
        <w:rPr>
          <w:rFonts w:hint="default" w:ascii="Times New Roman" w:hAnsi="Times New Roman" w:eastAsia="宋体" w:cs="Times New Roman"/>
          <w:color w:val="auto"/>
          <w:kern w:val="2"/>
          <w:sz w:val="28"/>
          <w:szCs w:val="28"/>
          <w:highlight w:val="none"/>
          <w:lang w:val="en-US" w:eastAsia="zh-CN" w:bidi="ar"/>
        </w:rPr>
        <w:instrText xml:space="preserve"> HYPERLINK \l _Toc24513 </w:instrText>
      </w:r>
      <w:r>
        <w:rPr>
          <w:rFonts w:hint="default" w:ascii="Times New Roman" w:hAnsi="Times New Roman" w:eastAsia="宋体" w:cs="Times New Roman"/>
          <w:color w:val="auto"/>
          <w:kern w:val="2"/>
          <w:sz w:val="28"/>
          <w:szCs w:val="28"/>
          <w:highlight w:val="none"/>
          <w:lang w:val="en-US" w:eastAsia="zh-CN" w:bidi="ar"/>
        </w:rPr>
        <w:fldChar w:fldCharType="separate"/>
      </w:r>
      <w:r>
        <w:rPr>
          <w:rFonts w:hint="eastAsia" w:ascii="Times New Roman" w:hAnsi="Times New Roman" w:eastAsia="宋体" w:cs="Times New Roman"/>
          <w:color w:val="auto"/>
          <w:kern w:val="2"/>
          <w:sz w:val="28"/>
          <w:szCs w:val="28"/>
          <w:highlight w:val="none"/>
          <w:lang w:val="en-US" w:eastAsia="zh-CN" w:bidi="ar"/>
        </w:rPr>
        <w:t>2、毕业生对学院就业创业工作的评价</w:t>
      </w:r>
      <w:r>
        <w:rPr>
          <w:rFonts w:hint="default" w:ascii="Times New Roman" w:hAnsi="Times New Roman" w:eastAsia="宋体" w:cs="Times New Roman"/>
          <w:color w:val="auto"/>
          <w:kern w:val="2"/>
          <w:sz w:val="28"/>
          <w:szCs w:val="28"/>
          <w:highlight w:val="none"/>
          <w:lang w:val="en-US" w:eastAsia="zh-CN" w:bidi="ar"/>
        </w:rPr>
        <w:fldChar w:fldCharType="end"/>
      </w:r>
    </w:p>
    <w:p>
      <w:pPr>
        <w:pStyle w:val="26"/>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heme="minorEastAsia" w:hAnsiTheme="minorEastAsia" w:eastAsiaTheme="minorEastAsia" w:cstheme="minorEastAsia"/>
          <w:color w:val="auto"/>
          <w:kern w:val="0"/>
          <w:sz w:val="28"/>
          <w:szCs w:val="28"/>
          <w:shd w:val="clear" w:fill="FFFFFF"/>
          <w:lang w:val="en-US" w:eastAsia="zh-CN" w:bidi="ar-SA"/>
        </w:rPr>
      </w:pPr>
      <w:r>
        <w:rPr>
          <w:rFonts w:hint="eastAsia" w:asciiTheme="minorEastAsia" w:hAnsiTheme="minorEastAsia" w:eastAsiaTheme="minorEastAsia" w:cstheme="minorEastAsia"/>
          <w:color w:val="auto"/>
          <w:kern w:val="0"/>
          <w:sz w:val="28"/>
          <w:szCs w:val="28"/>
          <w:shd w:val="clear" w:fill="FFFFFF"/>
          <w:lang w:val="en-US" w:eastAsia="zh-CN" w:bidi="ar-SA"/>
        </w:rPr>
        <w:t>通过随机抽样调查100名毕业生对我院就业创业工作进行评价，“非常满意”49人，占49.00%，“比较满意”35人，占35.00%，“满意”13人，占比13.00%，总体满意率为97.00%。整体而言，2022届毕业生对我院就业创业工作评价较高（图8）。</w:t>
      </w:r>
    </w:p>
    <w:p>
      <w:pPr>
        <w:pStyle w:val="2"/>
        <w:jc w:val="center"/>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drawing>
          <wp:inline distT="0" distB="0" distL="114300" distR="114300">
            <wp:extent cx="4950460" cy="2910205"/>
            <wp:effectExtent l="4445" t="4445" r="17145" b="1905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2"/>
        <w:rPr>
          <w:rFonts w:hint="eastAsia" w:ascii="Times New Roman" w:hAnsi="Times New Roman" w:eastAsia="宋体" w:cs="Times New Roman"/>
          <w:color w:val="FF0000"/>
          <w:sz w:val="28"/>
          <w:szCs w:val="28"/>
          <w:lang w:eastAsia="zh-CN"/>
        </w:rPr>
      </w:pPr>
    </w:p>
    <w:p>
      <w:pPr>
        <w:pStyle w:val="2"/>
        <w:ind w:firstLine="562" w:firstLineChars="200"/>
        <w:rPr>
          <w:rFonts w:hint="default"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lang w:eastAsia="zh-CN"/>
        </w:rPr>
        <w:t>五</w:t>
      </w:r>
      <w:r>
        <w:rPr>
          <w:rFonts w:hint="default" w:ascii="Times New Roman" w:hAnsi="Times New Roman" w:eastAsia="宋体" w:cs="Times New Roman"/>
          <w:color w:val="auto"/>
          <w:sz w:val="28"/>
          <w:szCs w:val="28"/>
        </w:rPr>
        <w:t>、毕业生就业创业工作</w:t>
      </w:r>
      <w:bookmarkEnd w:id="46"/>
      <w:bookmarkEnd w:id="47"/>
      <w:bookmarkEnd w:id="48"/>
      <w:bookmarkEnd w:id="49"/>
      <w:r>
        <w:rPr>
          <w:rFonts w:hint="default" w:ascii="Times New Roman" w:hAnsi="Times New Roman" w:eastAsia="宋体" w:cs="Times New Roman"/>
          <w:color w:val="auto"/>
          <w:sz w:val="28"/>
          <w:szCs w:val="28"/>
        </w:rPr>
        <w:t>举措</w:t>
      </w:r>
      <w:bookmarkEnd w:id="50"/>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color w:val="auto"/>
          <w:kern w:val="0"/>
          <w:sz w:val="28"/>
          <w:szCs w:val="28"/>
          <w:shd w:val="clear" w:fill="FFFFFF"/>
        </w:rPr>
      </w:pPr>
      <w:r>
        <w:rPr>
          <w:rFonts w:hint="eastAsia" w:ascii="宋体" w:hAnsi="宋体" w:eastAsia="宋体" w:cs="宋体"/>
          <w:color w:val="auto"/>
          <w:kern w:val="0"/>
          <w:sz w:val="28"/>
          <w:szCs w:val="28"/>
          <w:shd w:val="clear" w:fill="FFFFFF"/>
          <w:lang w:val="en-US" w:eastAsia="zh-CN"/>
        </w:rPr>
        <w:t>2022年是全国疫情发展极不稳定的一年，为进一步做好“稳就业”工作，</w:t>
      </w:r>
      <w:r>
        <w:rPr>
          <w:rFonts w:hint="eastAsia" w:ascii="宋体" w:hAnsi="宋体" w:eastAsia="宋体" w:cs="宋体"/>
          <w:color w:val="auto"/>
          <w:kern w:val="0"/>
          <w:sz w:val="28"/>
          <w:szCs w:val="28"/>
          <w:shd w:val="clear" w:fill="FFFFFF"/>
        </w:rPr>
        <w:t>学院高度重视毕业生就业工作，紧紧围绕实现毕业生充分就业和不断提高就业质量的工作目标，全院群策群力，全力以赴</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坚持“</w:t>
      </w:r>
      <w:r>
        <w:rPr>
          <w:rFonts w:hint="eastAsia" w:ascii="宋体" w:hAnsi="宋体" w:eastAsia="宋体" w:cs="宋体"/>
          <w:color w:val="auto"/>
          <w:kern w:val="0"/>
          <w:sz w:val="28"/>
          <w:szCs w:val="28"/>
          <w:shd w:val="clear" w:fill="FFFFFF"/>
          <w:lang w:val="en-US" w:eastAsia="zh-CN"/>
        </w:rPr>
        <w:t>就业创业多元化</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val="en-US" w:eastAsia="zh-CN"/>
        </w:rPr>
        <w:t>市场开拓覆盖化</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val="en-US" w:eastAsia="zh-CN"/>
        </w:rPr>
        <w:t>人</w:t>
      </w:r>
      <w:r>
        <w:rPr>
          <w:rFonts w:hint="eastAsia" w:ascii="宋体" w:hAnsi="宋体" w:eastAsia="宋体" w:cs="宋体"/>
          <w:color w:val="auto"/>
          <w:kern w:val="0"/>
          <w:sz w:val="28"/>
          <w:szCs w:val="28"/>
          <w:shd w:val="clear" w:fill="FFFFFF"/>
        </w:rPr>
        <w:t>员参与</w:t>
      </w:r>
      <w:r>
        <w:rPr>
          <w:rFonts w:hint="eastAsia" w:ascii="宋体" w:hAnsi="宋体" w:eastAsia="宋体" w:cs="宋体"/>
          <w:color w:val="auto"/>
          <w:kern w:val="0"/>
          <w:sz w:val="28"/>
          <w:szCs w:val="28"/>
          <w:shd w:val="clear" w:fill="FFFFFF"/>
          <w:lang w:val="en-US" w:eastAsia="zh-CN"/>
        </w:rPr>
        <w:t>全员化</w:t>
      </w:r>
      <w:r>
        <w:rPr>
          <w:rFonts w:hint="eastAsia" w:ascii="宋体" w:hAnsi="宋体" w:eastAsia="宋体" w:cs="宋体"/>
          <w:color w:val="auto"/>
          <w:kern w:val="0"/>
          <w:sz w:val="28"/>
          <w:szCs w:val="28"/>
          <w:shd w:val="clear" w:fill="FFFFFF"/>
        </w:rPr>
        <w:t>”的原则，积极拓宽就业创业途径,以提高就业创业率为目标，推行就业工作目标管理，进一步强化思想共识，整合有效资源，构建长效机制，完善工作体系，有效提升就业创业指导服务工作的专业化水平，举全院之力促进毕业生高质量、充分就业。</w:t>
      </w:r>
      <w:r>
        <w:rPr>
          <w:rFonts w:hint="eastAsia" w:ascii="宋体" w:hAnsi="宋体" w:eastAsia="宋体" w:cs="宋体"/>
          <w:color w:val="auto"/>
          <w:kern w:val="0"/>
          <w:sz w:val="28"/>
          <w:szCs w:val="28"/>
          <w:shd w:val="clear" w:fill="FFFFFF"/>
          <w:lang w:val="en-US" w:eastAsia="zh-CN"/>
        </w:rPr>
        <w:t xml:space="preserve">针对 2022届毕业生的就业工作，具体工作举措主要有： </w:t>
      </w:r>
    </w:p>
    <w:p>
      <w:pPr>
        <w:pStyle w:val="3"/>
        <w:shd w:val="clear"/>
        <w:spacing w:before="0" w:after="0" w:line="360" w:lineRule="auto"/>
        <w:ind w:firstLine="562" w:firstLineChars="200"/>
        <w:jc w:val="both"/>
        <w:rPr>
          <w:rFonts w:hint="eastAsia" w:ascii="宋体" w:hAnsi="宋体" w:eastAsia="宋体" w:cs="宋体"/>
          <w:color w:val="auto"/>
          <w:sz w:val="28"/>
          <w:szCs w:val="28"/>
        </w:rPr>
      </w:pPr>
      <w:bookmarkStart w:id="51" w:name="_Toc1669"/>
      <w:bookmarkStart w:id="52" w:name="_Toc20135"/>
      <w:bookmarkStart w:id="53" w:name="_Toc25351"/>
      <w:bookmarkStart w:id="54" w:name="_Toc3121"/>
      <w:r>
        <w:rPr>
          <w:rFonts w:hint="eastAsia" w:ascii="宋体" w:hAnsi="宋体" w:eastAsia="宋体" w:cs="宋体"/>
          <w:color w:val="auto"/>
          <w:sz w:val="28"/>
          <w:szCs w:val="28"/>
          <w:lang w:eastAsia="zh-CN"/>
        </w:rPr>
        <w:t>（一）</w:t>
      </w:r>
      <w:r>
        <w:rPr>
          <w:rFonts w:hint="eastAsia" w:ascii="宋体" w:hAnsi="宋体" w:eastAsia="宋体" w:cs="宋体"/>
          <w:color w:val="auto"/>
          <w:sz w:val="28"/>
          <w:szCs w:val="28"/>
        </w:rPr>
        <w:t>建立健全就业创业工作</w:t>
      </w:r>
      <w:bookmarkEnd w:id="51"/>
      <w:bookmarkEnd w:id="52"/>
      <w:bookmarkEnd w:id="53"/>
      <w:r>
        <w:rPr>
          <w:rFonts w:hint="eastAsia" w:ascii="宋体" w:hAnsi="宋体" w:eastAsia="宋体" w:cs="宋体"/>
          <w:color w:val="auto"/>
          <w:sz w:val="28"/>
          <w:szCs w:val="28"/>
        </w:rPr>
        <w:t>机制</w:t>
      </w:r>
      <w:bookmarkEnd w:id="54"/>
    </w:p>
    <w:p>
      <w:pPr>
        <w:ind w:left="105" w:right="0" w:firstLine="560"/>
        <w:jc w:val="both"/>
        <w:rPr>
          <w:rFonts w:hint="eastAsia" w:ascii="宋体" w:hAnsi="宋体" w:eastAsia="宋体" w:cs="宋体"/>
          <w:color w:val="auto"/>
          <w:sz w:val="28"/>
          <w:szCs w:val="28"/>
        </w:rPr>
      </w:pPr>
      <w:r>
        <w:rPr>
          <w:rFonts w:hint="eastAsia" w:ascii="宋体" w:hAnsi="宋体" w:eastAsia="宋体" w:cs="宋体"/>
          <w:color w:val="auto"/>
          <w:kern w:val="0"/>
          <w:sz w:val="28"/>
          <w:szCs w:val="28"/>
          <w:shd w:val="clear" w:fill="FFFFFF"/>
          <w:lang w:eastAsia="zh-CN"/>
        </w:rPr>
        <w:t>完善就业创业工作机制</w:t>
      </w:r>
      <w:r>
        <w:rPr>
          <w:rFonts w:hint="eastAsia" w:ascii="宋体" w:hAnsi="宋体" w:eastAsia="宋体" w:cs="宋体"/>
          <w:color w:val="auto"/>
          <w:kern w:val="0"/>
          <w:sz w:val="28"/>
          <w:szCs w:val="28"/>
          <w:shd w:val="clear" w:fill="FFFFFF"/>
        </w:rPr>
        <w:t>，明确就业创业工作目标、职责和任务。</w:t>
      </w:r>
      <w:r>
        <w:rPr>
          <w:rFonts w:hint="eastAsia" w:ascii="宋体" w:hAnsi="宋体" w:eastAsia="宋体" w:cs="宋体"/>
          <w:color w:val="auto"/>
          <w:kern w:val="0"/>
          <w:sz w:val="28"/>
          <w:szCs w:val="28"/>
          <w:shd w:val="clear" w:fill="FFFFFF"/>
          <w:lang w:eastAsia="zh-CN"/>
        </w:rPr>
        <w:t>前期</w:t>
      </w:r>
      <w:r>
        <w:rPr>
          <w:rFonts w:hint="eastAsia" w:ascii="宋体" w:hAnsi="宋体" w:eastAsia="宋体" w:cs="宋体"/>
          <w:color w:val="auto"/>
          <w:kern w:val="0"/>
          <w:sz w:val="28"/>
          <w:szCs w:val="28"/>
          <w:shd w:val="clear" w:fill="FFFFFF"/>
        </w:rPr>
        <w:t>成立了以院长</w:t>
      </w:r>
      <w:r>
        <w:rPr>
          <w:rFonts w:hint="eastAsia" w:ascii="宋体" w:hAnsi="宋体" w:eastAsia="宋体" w:cs="宋体"/>
          <w:color w:val="auto"/>
          <w:kern w:val="0"/>
          <w:sz w:val="28"/>
          <w:szCs w:val="28"/>
          <w:shd w:val="clear" w:fill="FFFFFF"/>
          <w:lang w:val="en-US" w:eastAsia="zh-CN"/>
        </w:rPr>
        <w:t>杨喜</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eastAsia="zh-CN"/>
        </w:rPr>
        <w:t>院党委</w:t>
      </w:r>
      <w:r>
        <w:rPr>
          <w:rFonts w:hint="eastAsia" w:ascii="宋体" w:hAnsi="宋体" w:eastAsia="宋体" w:cs="宋体"/>
          <w:color w:val="auto"/>
          <w:kern w:val="0"/>
          <w:sz w:val="28"/>
          <w:szCs w:val="28"/>
          <w:shd w:val="clear" w:fill="FFFFFF"/>
          <w:lang w:val="en-US" w:eastAsia="zh-CN"/>
        </w:rPr>
        <w:t>副</w:t>
      </w:r>
      <w:r>
        <w:rPr>
          <w:rFonts w:hint="eastAsia" w:ascii="宋体" w:hAnsi="宋体" w:eastAsia="宋体" w:cs="宋体"/>
          <w:color w:val="auto"/>
          <w:kern w:val="0"/>
          <w:sz w:val="28"/>
          <w:szCs w:val="28"/>
          <w:shd w:val="clear" w:fill="FFFFFF"/>
          <w:lang w:eastAsia="zh-CN"/>
        </w:rPr>
        <w:t>书记</w:t>
      </w:r>
      <w:r>
        <w:rPr>
          <w:rFonts w:hint="eastAsia" w:ascii="宋体" w:hAnsi="宋体" w:eastAsia="宋体" w:cs="宋体"/>
          <w:color w:val="auto"/>
          <w:kern w:val="0"/>
          <w:sz w:val="28"/>
          <w:szCs w:val="28"/>
          <w:shd w:val="clear" w:fill="FFFFFF"/>
          <w:lang w:val="en-US" w:eastAsia="zh-CN"/>
        </w:rPr>
        <w:t>王伟</w:t>
      </w:r>
      <w:r>
        <w:rPr>
          <w:rFonts w:hint="eastAsia" w:ascii="宋体" w:hAnsi="宋体" w:eastAsia="宋体" w:cs="宋体"/>
          <w:color w:val="auto"/>
          <w:kern w:val="0"/>
          <w:sz w:val="28"/>
          <w:szCs w:val="28"/>
          <w:shd w:val="clear" w:fill="FFFFFF"/>
        </w:rPr>
        <w:t>为组长</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以教学系部主任、就业专干、教务秘书、辅导员、毕业班班主任为成员的毕业生就业工作领导小组。</w:t>
      </w:r>
      <w:r>
        <w:rPr>
          <w:rFonts w:hint="eastAsia" w:ascii="宋体" w:hAnsi="宋体" w:eastAsia="宋体" w:cs="宋体"/>
          <w:color w:val="auto"/>
          <w:kern w:val="0"/>
          <w:sz w:val="28"/>
          <w:szCs w:val="28"/>
          <w:shd w:val="clear" w:fill="FFFFFF"/>
          <w:lang w:val="en-US" w:eastAsia="zh-CN"/>
        </w:rPr>
        <w:t>2022年9月，成立了以</w:t>
      </w:r>
      <w:r>
        <w:rPr>
          <w:rFonts w:hint="eastAsia" w:ascii="宋体" w:hAnsi="宋体" w:eastAsia="宋体" w:cs="宋体"/>
          <w:color w:val="auto"/>
          <w:kern w:val="0"/>
          <w:sz w:val="28"/>
          <w:szCs w:val="28"/>
          <w:shd w:val="clear" w:fill="FFFFFF"/>
        </w:rPr>
        <w:t>院长</w:t>
      </w:r>
      <w:r>
        <w:rPr>
          <w:rFonts w:hint="eastAsia" w:ascii="宋体" w:hAnsi="宋体" w:eastAsia="宋体" w:cs="宋体"/>
          <w:color w:val="auto"/>
          <w:kern w:val="0"/>
          <w:sz w:val="28"/>
          <w:szCs w:val="28"/>
          <w:shd w:val="clear" w:fill="FFFFFF"/>
          <w:lang w:val="en-US" w:eastAsia="zh-CN"/>
        </w:rPr>
        <w:t>杨喜、院党委书记张华为组长的工作领导小组</w:t>
      </w:r>
      <w:r>
        <w:rPr>
          <w:rFonts w:hint="eastAsia" w:ascii="宋体" w:hAnsi="宋体" w:eastAsia="宋体" w:cs="宋体"/>
          <w:color w:val="auto"/>
          <w:kern w:val="0"/>
          <w:sz w:val="28"/>
          <w:szCs w:val="28"/>
          <w:shd w:val="clear" w:fill="FFFFFF"/>
          <w:lang w:eastAsia="zh-CN"/>
        </w:rPr>
        <w:t>，召开了党政领导、班主任专题会议，对就业工作定期分析，工作部署。</w:t>
      </w:r>
      <w:r>
        <w:rPr>
          <w:rFonts w:hint="eastAsia" w:ascii="宋体" w:hAnsi="宋体" w:eastAsia="宋体" w:cs="宋体"/>
          <w:color w:val="auto"/>
          <w:kern w:val="0"/>
          <w:sz w:val="28"/>
          <w:szCs w:val="28"/>
          <w:shd w:val="clear" w:fill="FFFFFF"/>
          <w:lang w:val="en-US" w:eastAsia="zh-CN"/>
        </w:rPr>
        <w:t>完善</w:t>
      </w:r>
      <w:r>
        <w:rPr>
          <w:rFonts w:hint="eastAsia" w:ascii="宋体" w:hAnsi="宋体" w:eastAsia="宋体" w:cs="宋体"/>
          <w:color w:val="auto"/>
          <w:sz w:val="28"/>
          <w:szCs w:val="28"/>
        </w:rPr>
        <w:t>了《毕业生就业工作方案》《就业市场建设方案》《就业工作考核办法》以及</w:t>
      </w:r>
      <w:r>
        <w:rPr>
          <w:rFonts w:hint="eastAsia" w:ascii="宋体" w:hAnsi="宋体" w:eastAsia="宋体" w:cs="宋体"/>
          <w:color w:val="auto"/>
          <w:sz w:val="28"/>
          <w:szCs w:val="28"/>
          <w:lang w:val="en-US" w:eastAsia="zh-CN"/>
        </w:rPr>
        <w:t>2022</w:t>
      </w:r>
      <w:r>
        <w:rPr>
          <w:rFonts w:hint="eastAsia" w:ascii="宋体" w:hAnsi="宋体" w:eastAsia="宋体" w:cs="宋体"/>
          <w:color w:val="auto"/>
          <w:sz w:val="28"/>
          <w:szCs w:val="28"/>
        </w:rPr>
        <w:t>年度</w:t>
      </w:r>
      <w:r>
        <w:rPr>
          <w:rFonts w:hint="eastAsia" w:ascii="宋体" w:hAnsi="宋体" w:eastAsia="宋体" w:cs="宋体"/>
          <w:color w:val="auto"/>
          <w:sz w:val="28"/>
          <w:szCs w:val="28"/>
          <w:lang w:eastAsia="zh-CN"/>
        </w:rPr>
        <w:t>就业创业</w:t>
      </w:r>
      <w:r>
        <w:rPr>
          <w:rFonts w:hint="eastAsia" w:ascii="宋体" w:hAnsi="宋体" w:eastAsia="宋体" w:cs="宋体"/>
          <w:color w:val="auto"/>
          <w:sz w:val="28"/>
          <w:szCs w:val="28"/>
        </w:rPr>
        <w:t>工作计划，将毕业生就业工作与责任考核、津贴和评优挂钩，列入相关考核范围中，同时要求</w:t>
      </w:r>
      <w:r>
        <w:rPr>
          <w:rFonts w:hint="eastAsia" w:ascii="宋体" w:hAnsi="宋体" w:eastAsia="宋体" w:cs="宋体"/>
          <w:color w:val="auto"/>
          <w:kern w:val="0"/>
          <w:sz w:val="28"/>
          <w:szCs w:val="28"/>
          <w:shd w:val="clear" w:fill="FFFFFF"/>
        </w:rPr>
        <w:t>就业创业工作专职人员、辅导员、任课教师积极服务毕业生就业工作，从而形成了全员参与的局面</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学院领导主动出任毕业生就业创业导师，在毕业生离校前的就业动员大会上，以亲身经历、经验为案例，对全体毕业生作就业创业教育；专业教师及就业指导教师结合就业岗位要求及就业形势，全力指导毕业生就业；全体教职工在就业指导中心的指导下充分利用自己的社会资源，为毕业生找岗位，竭尽全力帮扶贫困学生就业。</w:t>
      </w:r>
    </w:p>
    <w:p>
      <w:pPr>
        <w:pStyle w:val="3"/>
        <w:spacing w:before="0" w:after="0" w:line="360" w:lineRule="auto"/>
        <w:ind w:firstLine="562" w:firstLineChars="200"/>
        <w:jc w:val="both"/>
        <w:rPr>
          <w:rFonts w:hint="eastAsia" w:ascii="宋体" w:hAnsi="宋体" w:eastAsia="宋体" w:cs="宋体"/>
          <w:color w:val="auto"/>
          <w:sz w:val="28"/>
          <w:szCs w:val="28"/>
        </w:rPr>
      </w:pPr>
      <w:bookmarkStart w:id="55" w:name="_Toc2012"/>
      <w:r>
        <w:rPr>
          <w:rFonts w:hint="eastAsia" w:ascii="宋体" w:hAnsi="宋体" w:eastAsia="宋体" w:cs="宋体"/>
          <w:color w:val="auto"/>
          <w:sz w:val="28"/>
          <w:szCs w:val="28"/>
          <w:lang w:eastAsia="zh-CN"/>
        </w:rPr>
        <w:t>（二）</w:t>
      </w:r>
      <w:r>
        <w:rPr>
          <w:rFonts w:hint="eastAsia" w:ascii="宋体" w:hAnsi="宋体" w:eastAsia="宋体" w:cs="宋体"/>
          <w:color w:val="auto"/>
          <w:sz w:val="28"/>
          <w:szCs w:val="28"/>
        </w:rPr>
        <w:t>构建完善的职业发展与就业创业教育体系</w:t>
      </w:r>
      <w:bookmarkEnd w:id="55"/>
    </w:p>
    <w:p>
      <w:pPr>
        <w:ind w:left="0" w:right="0" w:firstLine="560"/>
        <w:jc w:val="both"/>
        <w:rPr>
          <w:rFonts w:hint="eastAsia" w:ascii="宋体" w:hAnsi="宋体" w:eastAsia="宋体" w:cs="宋体"/>
          <w:sz w:val="28"/>
          <w:szCs w:val="28"/>
        </w:rPr>
      </w:pPr>
      <w:r>
        <w:rPr>
          <w:rFonts w:hint="eastAsia" w:ascii="宋体" w:hAnsi="宋体" w:eastAsia="宋体" w:cs="宋体"/>
          <w:color w:val="auto"/>
          <w:kern w:val="0"/>
          <w:sz w:val="28"/>
          <w:szCs w:val="28"/>
          <w:shd w:val="clear" w:fill="FFFFFF"/>
        </w:rPr>
        <w:t>学院成了就业指导教研室，党委副书记</w:t>
      </w:r>
      <w:r>
        <w:rPr>
          <w:rFonts w:hint="eastAsia" w:ascii="宋体" w:hAnsi="宋体" w:eastAsia="宋体" w:cs="宋体"/>
          <w:color w:val="auto"/>
          <w:kern w:val="0"/>
          <w:sz w:val="28"/>
          <w:szCs w:val="28"/>
          <w:shd w:val="clear" w:fill="FFFFFF"/>
          <w:lang w:val="en-US" w:eastAsia="zh-CN"/>
        </w:rPr>
        <w:t>王伟</w:t>
      </w:r>
      <w:r>
        <w:rPr>
          <w:rFonts w:hint="eastAsia" w:ascii="宋体" w:hAnsi="宋体" w:eastAsia="宋体" w:cs="宋体"/>
          <w:color w:val="auto"/>
          <w:kern w:val="0"/>
          <w:sz w:val="28"/>
          <w:szCs w:val="28"/>
          <w:shd w:val="clear" w:fill="FFFFFF"/>
        </w:rPr>
        <w:t>担任教研室主任，就业专干担任办公室主任，辅导员任专职任课教师，各系主任为兼职任课教师。</w:t>
      </w:r>
      <w:r>
        <w:rPr>
          <w:rFonts w:hint="eastAsia" w:ascii="宋体" w:hAnsi="宋体" w:eastAsia="宋体" w:cs="宋体"/>
          <w:color w:val="auto"/>
          <w:sz w:val="28"/>
          <w:szCs w:val="28"/>
        </w:rPr>
        <w:t>学院</w:t>
      </w:r>
      <w:r>
        <w:rPr>
          <w:rFonts w:hint="eastAsia" w:ascii="宋体" w:hAnsi="宋体" w:eastAsia="宋体" w:cs="宋体"/>
          <w:color w:val="auto"/>
          <w:kern w:val="0"/>
          <w:sz w:val="28"/>
          <w:szCs w:val="28"/>
          <w:shd w:val="clear" w:fill="FFFFFF"/>
        </w:rPr>
        <w:t>注重就业创业师资队伍建设，致力于培育一支专兼结合的师资队伍和创业指导专家团队。20</w:t>
      </w:r>
      <w:r>
        <w:rPr>
          <w:rFonts w:hint="eastAsia" w:ascii="宋体" w:hAnsi="宋体" w:eastAsia="宋体" w:cs="宋体"/>
          <w:color w:val="auto"/>
          <w:kern w:val="0"/>
          <w:sz w:val="28"/>
          <w:szCs w:val="28"/>
          <w:shd w:val="clear" w:fill="FFFFFF"/>
          <w:lang w:val="en-US" w:eastAsia="zh-CN"/>
        </w:rPr>
        <w:t>22</w:t>
      </w:r>
      <w:r>
        <w:rPr>
          <w:rFonts w:hint="eastAsia" w:ascii="宋体" w:hAnsi="宋体" w:eastAsia="宋体" w:cs="宋体"/>
          <w:color w:val="auto"/>
          <w:kern w:val="0"/>
          <w:sz w:val="28"/>
          <w:szCs w:val="28"/>
          <w:shd w:val="clear" w:fill="FFFFFF"/>
        </w:rPr>
        <w:t>年，我院就业创业指导老师先后前往湘西州</w:t>
      </w:r>
      <w:r>
        <w:rPr>
          <w:rFonts w:hint="eastAsia" w:ascii="宋体" w:hAnsi="宋体" w:eastAsia="宋体" w:cs="宋体"/>
          <w:color w:val="auto"/>
          <w:kern w:val="0"/>
          <w:sz w:val="28"/>
          <w:szCs w:val="28"/>
          <w:shd w:val="clear" w:fill="FFFFFF"/>
          <w:lang w:eastAsia="zh-CN"/>
        </w:rPr>
        <w:t>经开区</w:t>
      </w:r>
      <w:r>
        <w:rPr>
          <w:rFonts w:hint="eastAsia" w:ascii="宋体" w:hAnsi="宋体" w:eastAsia="宋体" w:cs="宋体"/>
          <w:color w:val="auto"/>
          <w:kern w:val="0"/>
          <w:sz w:val="28"/>
          <w:szCs w:val="28"/>
          <w:shd w:val="clear" w:fill="FFFFFF"/>
        </w:rPr>
        <w:t>参加创业指导</w:t>
      </w:r>
      <w:r>
        <w:rPr>
          <w:rFonts w:hint="eastAsia" w:ascii="宋体" w:hAnsi="宋体" w:eastAsia="宋体" w:cs="宋体"/>
          <w:color w:val="auto"/>
          <w:kern w:val="0"/>
          <w:sz w:val="28"/>
          <w:szCs w:val="28"/>
          <w:shd w:val="clear" w:fill="FFFFFF"/>
          <w:lang w:eastAsia="zh-CN"/>
        </w:rPr>
        <w:t>老</w:t>
      </w:r>
      <w:r>
        <w:rPr>
          <w:rFonts w:hint="eastAsia" w:ascii="宋体" w:hAnsi="宋体" w:eastAsia="宋体" w:cs="宋体"/>
          <w:color w:val="auto"/>
          <w:kern w:val="0"/>
          <w:sz w:val="28"/>
          <w:szCs w:val="28"/>
          <w:shd w:val="clear" w:fill="FFFFFF"/>
        </w:rPr>
        <w:t>师培训。深入开展创新创业教育，学院面向全体学生开设了《创业基础》《大学生</w:t>
      </w:r>
      <w:r>
        <w:rPr>
          <w:rFonts w:hint="eastAsia" w:ascii="宋体" w:hAnsi="宋体" w:eastAsia="宋体" w:cs="宋体"/>
          <w:color w:val="auto"/>
          <w:kern w:val="0"/>
          <w:sz w:val="28"/>
          <w:szCs w:val="28"/>
          <w:shd w:val="clear" w:fill="FFFFFF"/>
          <w:lang w:eastAsia="zh-CN"/>
        </w:rPr>
        <w:t>职业规划</w:t>
      </w:r>
      <w:r>
        <w:rPr>
          <w:rFonts w:hint="eastAsia" w:ascii="宋体" w:hAnsi="宋体" w:eastAsia="宋体" w:cs="宋体"/>
          <w:color w:val="auto"/>
          <w:kern w:val="0"/>
          <w:sz w:val="28"/>
          <w:szCs w:val="28"/>
          <w:shd w:val="clear" w:fill="FFFFFF"/>
        </w:rPr>
        <w:t>》《大学生就业</w:t>
      </w:r>
      <w:r>
        <w:rPr>
          <w:rFonts w:hint="eastAsia" w:ascii="宋体" w:hAnsi="宋体" w:eastAsia="宋体" w:cs="宋体"/>
          <w:color w:val="auto"/>
          <w:kern w:val="0"/>
          <w:sz w:val="28"/>
          <w:szCs w:val="28"/>
          <w:shd w:val="clear" w:fill="FFFFFF"/>
          <w:lang w:eastAsia="zh-CN"/>
        </w:rPr>
        <w:t>指导</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lang w:val="en-US" w:eastAsia="zh-CN"/>
        </w:rPr>
        <w:t>SYB创业培训课</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等课程，面向新生开设专业导论课程，帮助学生认识专业特点及将来职业方向，增强学习专业的自觉性，确定努力方向和目标</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积极开展大学生创新创业培训，20</w:t>
      </w:r>
      <w:r>
        <w:rPr>
          <w:rFonts w:hint="eastAsia" w:ascii="宋体" w:hAnsi="宋体" w:eastAsia="宋体" w:cs="宋体"/>
          <w:color w:val="auto"/>
          <w:kern w:val="0"/>
          <w:sz w:val="28"/>
          <w:szCs w:val="28"/>
          <w:shd w:val="clear" w:fill="FFFFFF"/>
          <w:lang w:val="en-US" w:eastAsia="zh-CN"/>
        </w:rPr>
        <w:t>22</w:t>
      </w:r>
      <w:r>
        <w:rPr>
          <w:rFonts w:hint="eastAsia" w:ascii="宋体" w:hAnsi="宋体" w:eastAsia="宋体" w:cs="宋体"/>
          <w:color w:val="auto"/>
          <w:kern w:val="0"/>
          <w:sz w:val="28"/>
          <w:szCs w:val="28"/>
          <w:shd w:val="clear" w:fill="FFFFFF"/>
        </w:rPr>
        <w:t>年</w:t>
      </w:r>
      <w:r>
        <w:rPr>
          <w:rFonts w:hint="eastAsia" w:ascii="宋体" w:hAnsi="宋体" w:eastAsia="宋体" w:cs="宋体"/>
          <w:color w:val="auto"/>
          <w:kern w:val="0"/>
          <w:sz w:val="28"/>
          <w:szCs w:val="28"/>
          <w:shd w:val="clear" w:fill="FFFFFF"/>
          <w:lang w:val="en-US" w:eastAsia="zh-CN"/>
        </w:rPr>
        <w:t>10月</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eastAsia="zh-CN"/>
        </w:rPr>
        <w:t>在学校的组织下，</w:t>
      </w:r>
      <w:r>
        <w:rPr>
          <w:rFonts w:hint="eastAsia" w:ascii="宋体" w:hAnsi="宋体" w:eastAsia="宋体" w:cs="宋体"/>
          <w:color w:val="auto"/>
          <w:kern w:val="0"/>
          <w:sz w:val="28"/>
          <w:szCs w:val="28"/>
          <w:shd w:val="clear" w:fill="FFFFFF"/>
        </w:rPr>
        <w:t>学院开展了</w:t>
      </w:r>
      <w:r>
        <w:rPr>
          <w:rFonts w:hint="eastAsia" w:ascii="宋体" w:hAnsi="宋体" w:eastAsia="宋体" w:cs="宋体"/>
          <w:color w:val="auto"/>
          <w:kern w:val="0"/>
          <w:sz w:val="28"/>
          <w:szCs w:val="28"/>
          <w:shd w:val="clear" w:fill="FFFFFF"/>
          <w:lang w:eastAsia="zh-CN"/>
        </w:rPr>
        <w:t>为期一</w:t>
      </w:r>
      <w:r>
        <w:rPr>
          <w:rFonts w:hint="eastAsia" w:ascii="宋体" w:hAnsi="宋体" w:eastAsia="宋体" w:cs="宋体"/>
          <w:color w:val="auto"/>
          <w:kern w:val="0"/>
          <w:sz w:val="28"/>
          <w:szCs w:val="28"/>
          <w:shd w:val="clear" w:fill="FFFFFF"/>
          <w:lang w:val="en-US" w:eastAsia="zh-CN"/>
        </w:rPr>
        <w:t>个月</w:t>
      </w:r>
      <w:r>
        <w:rPr>
          <w:rFonts w:hint="eastAsia" w:ascii="宋体" w:hAnsi="宋体" w:eastAsia="宋体" w:cs="宋体"/>
          <w:color w:val="auto"/>
          <w:kern w:val="0"/>
          <w:sz w:val="28"/>
          <w:szCs w:val="28"/>
          <w:shd w:val="clear" w:fill="FFFFFF"/>
          <w:lang w:eastAsia="zh-CN"/>
        </w:rPr>
        <w:t>的</w:t>
      </w:r>
      <w:r>
        <w:rPr>
          <w:rFonts w:hint="eastAsia" w:ascii="宋体" w:hAnsi="宋体" w:eastAsia="宋体" w:cs="宋体"/>
          <w:color w:val="auto"/>
          <w:kern w:val="0"/>
          <w:sz w:val="28"/>
          <w:szCs w:val="28"/>
          <w:shd w:val="clear" w:fill="FFFFFF"/>
          <w:lang w:val="en-US" w:eastAsia="zh-CN"/>
        </w:rPr>
        <w:t>求职模拟系列活动</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val="en-US" w:eastAsia="zh-CN"/>
        </w:rPr>
        <w:t>全院共计200多名毕业生参与了本次活动，</w:t>
      </w:r>
      <w:r>
        <w:rPr>
          <w:rFonts w:hint="eastAsia" w:ascii="宋体" w:hAnsi="宋体" w:eastAsia="宋体" w:cs="宋体"/>
          <w:color w:val="auto"/>
          <w:kern w:val="0"/>
          <w:sz w:val="28"/>
          <w:szCs w:val="28"/>
          <w:shd w:val="clear" w:fill="FFFFFF"/>
          <w:lang w:eastAsia="zh-CN"/>
        </w:rPr>
        <w:t>增强毕业生</w:t>
      </w:r>
      <w:r>
        <w:rPr>
          <w:rFonts w:hint="eastAsia" w:ascii="宋体" w:hAnsi="宋体" w:eastAsia="宋体" w:cs="宋体"/>
          <w:color w:val="auto"/>
          <w:kern w:val="0"/>
          <w:sz w:val="28"/>
          <w:szCs w:val="28"/>
          <w:shd w:val="clear" w:fill="FFFFFF"/>
          <w:lang w:val="en-US" w:eastAsia="zh-CN"/>
        </w:rPr>
        <w:t>就业</w:t>
      </w:r>
      <w:r>
        <w:rPr>
          <w:rFonts w:hint="eastAsia" w:ascii="宋体" w:hAnsi="宋体" w:eastAsia="宋体" w:cs="宋体"/>
          <w:color w:val="auto"/>
          <w:kern w:val="0"/>
          <w:sz w:val="28"/>
          <w:szCs w:val="28"/>
          <w:shd w:val="clear" w:fill="FFFFFF"/>
        </w:rPr>
        <w:t>创业意识，大学生</w:t>
      </w:r>
      <w:r>
        <w:rPr>
          <w:rFonts w:hint="eastAsia" w:ascii="宋体" w:hAnsi="宋体" w:eastAsia="宋体" w:cs="宋体"/>
          <w:color w:val="auto"/>
          <w:kern w:val="0"/>
          <w:sz w:val="28"/>
          <w:szCs w:val="28"/>
          <w:shd w:val="clear" w:fill="FFFFFF"/>
          <w:lang w:val="en-US" w:eastAsia="zh-CN"/>
        </w:rPr>
        <w:t>就业</w:t>
      </w:r>
      <w:r>
        <w:rPr>
          <w:rFonts w:hint="eastAsia" w:ascii="宋体" w:hAnsi="宋体" w:eastAsia="宋体" w:cs="宋体"/>
          <w:color w:val="auto"/>
          <w:kern w:val="0"/>
          <w:sz w:val="28"/>
          <w:szCs w:val="28"/>
          <w:shd w:val="clear" w:fill="FFFFFF"/>
        </w:rPr>
        <w:t>创业能力逐步提升。</w:t>
      </w:r>
    </w:p>
    <w:p>
      <w:pPr>
        <w:pStyle w:val="3"/>
        <w:spacing w:before="0" w:after="0" w:line="360" w:lineRule="auto"/>
        <w:ind w:firstLine="562" w:firstLineChars="200"/>
        <w:jc w:val="both"/>
        <w:rPr>
          <w:rFonts w:hint="eastAsia" w:ascii="宋体" w:hAnsi="宋体" w:eastAsia="宋体" w:cs="宋体"/>
          <w:color w:val="auto"/>
          <w:sz w:val="28"/>
          <w:szCs w:val="28"/>
        </w:rPr>
      </w:pPr>
      <w:bookmarkStart w:id="56" w:name="_Toc31553"/>
      <w:r>
        <w:rPr>
          <w:rFonts w:hint="eastAsia" w:ascii="宋体" w:hAnsi="宋体" w:eastAsia="宋体" w:cs="宋体"/>
          <w:color w:val="auto"/>
          <w:sz w:val="28"/>
          <w:szCs w:val="28"/>
          <w:lang w:eastAsia="zh-CN"/>
        </w:rPr>
        <w:t>（三）</w:t>
      </w:r>
      <w:r>
        <w:rPr>
          <w:rFonts w:hint="eastAsia" w:ascii="宋体" w:hAnsi="宋体" w:eastAsia="宋体" w:cs="宋体"/>
          <w:color w:val="auto"/>
          <w:sz w:val="28"/>
          <w:szCs w:val="28"/>
        </w:rPr>
        <w:t>创新人才培养模式</w:t>
      </w:r>
      <w:bookmarkEnd w:id="56"/>
    </w:p>
    <w:p>
      <w:pPr>
        <w:keepNext w:val="0"/>
        <w:keepLines w:val="0"/>
        <w:widowControl/>
        <w:suppressLineNumbers w:val="0"/>
        <w:ind w:firstLine="560" w:firstLineChars="200"/>
        <w:jc w:val="both"/>
        <w:rPr>
          <w:rFonts w:hint="eastAsia" w:ascii="宋体" w:hAnsi="宋体" w:eastAsia="宋体" w:cs="宋体"/>
          <w:color w:val="auto"/>
          <w:kern w:val="0"/>
          <w:sz w:val="28"/>
          <w:szCs w:val="28"/>
          <w:shd w:val="clear" w:fill="FFFFFF"/>
        </w:rPr>
      </w:pPr>
      <w:bookmarkStart w:id="57" w:name="_Toc29587"/>
      <w:r>
        <w:rPr>
          <w:rFonts w:hint="eastAsia" w:ascii="宋体" w:hAnsi="宋体" w:eastAsia="宋体" w:cs="宋体"/>
          <w:color w:val="auto"/>
          <w:kern w:val="0"/>
          <w:sz w:val="28"/>
          <w:szCs w:val="28"/>
          <w:shd w:val="clear" w:fill="FFFFFF"/>
          <w:lang w:eastAsia="zh-CN"/>
        </w:rPr>
        <w:t>为鼓励我院毕业生创新创业，学院建立了</w:t>
      </w:r>
      <w:r>
        <w:rPr>
          <w:rFonts w:hint="eastAsia" w:ascii="宋体" w:hAnsi="宋体" w:eastAsia="宋体" w:cs="宋体"/>
          <w:color w:val="auto"/>
          <w:kern w:val="0"/>
          <w:sz w:val="28"/>
          <w:szCs w:val="28"/>
          <w:shd w:val="clear" w:fill="FFFFFF"/>
        </w:rPr>
        <w:t>湖南省电子信息类专业校企合作创新创业教育基地</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rPr>
        <w:t>该省级基地着眼于新形势下的专业综合改革和创新创业教育，依托</w:t>
      </w:r>
      <w:r>
        <w:rPr>
          <w:rFonts w:hint="eastAsia" w:ascii="宋体" w:hAnsi="宋体" w:eastAsia="宋体" w:cs="宋体"/>
          <w:color w:val="auto"/>
          <w:kern w:val="0"/>
          <w:sz w:val="28"/>
          <w:szCs w:val="28"/>
          <w:shd w:val="clear" w:fill="FFFFFF"/>
          <w:lang w:val="en-US" w:eastAsia="zh-CN"/>
        </w:rPr>
        <w:t>北京</w:t>
      </w:r>
      <w:r>
        <w:rPr>
          <w:rFonts w:hint="eastAsia" w:ascii="宋体" w:hAnsi="宋体" w:eastAsia="宋体" w:cs="宋体"/>
          <w:color w:val="auto"/>
          <w:kern w:val="0"/>
          <w:sz w:val="28"/>
          <w:szCs w:val="28"/>
          <w:shd w:val="clear" w:fill="FFFFFF"/>
          <w:lang w:eastAsia="zh-CN"/>
        </w:rPr>
        <w:t>千锋互联科技有限公司、</w:t>
      </w:r>
      <w:r>
        <w:rPr>
          <w:rFonts w:hint="eastAsia" w:ascii="宋体" w:hAnsi="宋体" w:eastAsia="宋体" w:cs="宋体"/>
          <w:color w:val="auto"/>
          <w:kern w:val="0"/>
          <w:sz w:val="28"/>
          <w:szCs w:val="28"/>
          <w:shd w:val="clear" w:fill="FFFFFF"/>
        </w:rPr>
        <w:t>时代达内科技集团</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lang w:val="en-US" w:eastAsia="zh-CN" w:bidi="ar"/>
        </w:rPr>
        <w:t>湖南一树网络科技有限公司</w:t>
      </w:r>
      <w:r>
        <w:rPr>
          <w:rFonts w:hint="eastAsia" w:ascii="宋体" w:hAnsi="宋体" w:eastAsia="宋体" w:cs="宋体"/>
          <w:color w:val="auto"/>
          <w:kern w:val="0"/>
          <w:sz w:val="28"/>
          <w:szCs w:val="28"/>
          <w:shd w:val="clear" w:fill="FFFFFF"/>
        </w:rPr>
        <w:t>等</w:t>
      </w:r>
      <w:r>
        <w:rPr>
          <w:rFonts w:hint="eastAsia" w:ascii="宋体" w:hAnsi="宋体" w:eastAsia="宋体" w:cs="宋体"/>
          <w:color w:val="auto"/>
          <w:kern w:val="0"/>
          <w:sz w:val="28"/>
          <w:szCs w:val="28"/>
          <w:shd w:val="clear" w:fill="FFFFFF"/>
          <w:lang w:val="en-US" w:eastAsia="zh-CN"/>
        </w:rPr>
        <w:t>5</w:t>
      </w:r>
      <w:r>
        <w:rPr>
          <w:rFonts w:hint="eastAsia" w:ascii="宋体" w:hAnsi="宋体" w:eastAsia="宋体" w:cs="宋体"/>
          <w:color w:val="auto"/>
          <w:kern w:val="0"/>
          <w:sz w:val="28"/>
          <w:szCs w:val="28"/>
          <w:shd w:val="clear" w:fill="FFFFFF"/>
        </w:rPr>
        <w:t>个校外实习基地，全面深化校企合作，以“大数据技术”“移动互联技术”“无线通信网络优化”“嵌入式与物联网技术”为主要建设方向，力争将基地打造成服务于区域信息化建设与经济转型升级发展的创新性实践型人才培养的摇篮，为区域经济社会发展做出更大的贡献。</w:t>
      </w:r>
    </w:p>
    <w:p>
      <w:pPr>
        <w:pStyle w:val="3"/>
        <w:spacing w:before="0" w:after="0" w:line="360" w:lineRule="auto"/>
        <w:ind w:firstLine="562"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（四）</w:t>
      </w:r>
      <w:r>
        <w:rPr>
          <w:rFonts w:hint="eastAsia" w:ascii="宋体" w:hAnsi="宋体" w:eastAsia="宋体" w:cs="宋体"/>
          <w:color w:val="auto"/>
          <w:sz w:val="28"/>
          <w:szCs w:val="28"/>
        </w:rPr>
        <w:t>积极开拓就业市场</w:t>
      </w:r>
      <w:bookmarkEnd w:id="57"/>
    </w:p>
    <w:p>
      <w:pPr>
        <w:ind w:left="0" w:right="0" w:firstLine="560"/>
        <w:jc w:val="both"/>
        <w:rPr>
          <w:rFonts w:hint="eastAsia" w:ascii="宋体" w:hAnsi="宋体" w:eastAsia="宋体" w:cs="宋体"/>
          <w:color w:val="auto"/>
          <w:sz w:val="28"/>
          <w:szCs w:val="28"/>
        </w:rPr>
      </w:pPr>
      <w:r>
        <w:rPr>
          <w:rFonts w:hint="eastAsia" w:ascii="宋体" w:hAnsi="宋体" w:eastAsia="宋体" w:cs="宋体"/>
          <w:color w:val="auto"/>
          <w:kern w:val="0"/>
          <w:sz w:val="28"/>
          <w:szCs w:val="28"/>
          <w:shd w:val="clear" w:fill="FFFFFF"/>
        </w:rPr>
        <w:t>20</w:t>
      </w:r>
      <w:r>
        <w:rPr>
          <w:rFonts w:hint="eastAsia" w:ascii="宋体" w:hAnsi="宋体" w:eastAsia="宋体" w:cs="宋体"/>
          <w:color w:val="auto"/>
          <w:kern w:val="0"/>
          <w:sz w:val="28"/>
          <w:szCs w:val="28"/>
          <w:shd w:val="clear" w:fill="FFFFFF"/>
          <w:lang w:val="en-US" w:eastAsia="zh-CN"/>
        </w:rPr>
        <w:t>22</w:t>
      </w:r>
      <w:r>
        <w:rPr>
          <w:rFonts w:hint="eastAsia" w:ascii="宋体" w:hAnsi="宋体" w:eastAsia="宋体" w:cs="宋体"/>
          <w:color w:val="auto"/>
          <w:kern w:val="0"/>
          <w:sz w:val="28"/>
          <w:szCs w:val="28"/>
          <w:shd w:val="clear" w:fill="FFFFFF"/>
        </w:rPr>
        <w:t>年，在稳定原有市场的基础上，积极拓宽就业新市场。</w:t>
      </w:r>
      <w:r>
        <w:rPr>
          <w:rFonts w:hint="eastAsia" w:ascii="宋体" w:hAnsi="宋体" w:eastAsia="宋体" w:cs="宋体"/>
          <w:color w:val="auto"/>
          <w:kern w:val="0"/>
          <w:sz w:val="28"/>
          <w:szCs w:val="28"/>
          <w:shd w:val="clear" w:fill="FFFFFF"/>
          <w:lang w:eastAsia="zh-CN"/>
        </w:rPr>
        <w:t>一是</w:t>
      </w:r>
      <w:r>
        <w:rPr>
          <w:rFonts w:hint="eastAsia" w:ascii="宋体" w:hAnsi="宋体" w:eastAsia="宋体" w:cs="宋体"/>
          <w:color w:val="auto"/>
          <w:kern w:val="0"/>
          <w:sz w:val="28"/>
          <w:szCs w:val="28"/>
          <w:shd w:val="clear" w:fill="FFFFFF"/>
        </w:rPr>
        <w:t>学院构建 “校企合作、定向培养”的人才培养模式，建立了固定的实习、就业基地</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lang w:val="en-US" w:eastAsia="zh-CN"/>
        </w:rPr>
        <w:t>2022</w:t>
      </w:r>
      <w:r>
        <w:rPr>
          <w:rFonts w:hint="eastAsia" w:ascii="宋体" w:hAnsi="宋体" w:eastAsia="宋体" w:cs="宋体"/>
          <w:color w:val="auto"/>
          <w:kern w:val="0"/>
          <w:sz w:val="28"/>
          <w:szCs w:val="28"/>
          <w:shd w:val="clear" w:fill="FFFFFF"/>
        </w:rPr>
        <w:t>年</w:t>
      </w:r>
      <w:r>
        <w:rPr>
          <w:rFonts w:hint="eastAsia" w:ascii="宋体" w:hAnsi="宋体" w:eastAsia="宋体" w:cs="宋体"/>
          <w:color w:val="auto"/>
          <w:kern w:val="0"/>
          <w:sz w:val="28"/>
          <w:szCs w:val="28"/>
          <w:shd w:val="clear" w:fill="FFFFFF"/>
          <w:lang w:eastAsia="zh-CN"/>
        </w:rPr>
        <w:t>与</w:t>
      </w:r>
      <w:r>
        <w:rPr>
          <w:rFonts w:hint="eastAsia" w:ascii="宋体" w:hAnsi="宋体" w:eastAsia="宋体" w:cs="宋体"/>
          <w:color w:val="auto"/>
          <w:kern w:val="0"/>
          <w:sz w:val="28"/>
          <w:szCs w:val="28"/>
          <w:shd w:val="clear" w:fill="FFFFFF"/>
          <w:lang w:val="en-US" w:eastAsia="zh-CN"/>
        </w:rPr>
        <w:t>广东粤嵌科技股份有限公司</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val="en-US" w:eastAsia="zh-CN"/>
        </w:rPr>
        <w:t>湘西飞跃教育培训有限公司</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lang w:val="en-US" w:eastAsia="zh-CN"/>
        </w:rPr>
        <w:t>湖南一树网络科技有限公司、湖南硅谷数科信息技术有限公司、北京</w:t>
      </w:r>
      <w:r>
        <w:rPr>
          <w:rFonts w:hint="eastAsia" w:ascii="宋体" w:hAnsi="宋体" w:eastAsia="宋体" w:cs="宋体"/>
          <w:color w:val="auto"/>
          <w:kern w:val="0"/>
          <w:sz w:val="28"/>
          <w:szCs w:val="28"/>
          <w:shd w:val="clear" w:fill="FFFFFF"/>
          <w:lang w:eastAsia="zh-CN"/>
        </w:rPr>
        <w:t>千锋互联科技有限公司、</w:t>
      </w:r>
      <w:r>
        <w:rPr>
          <w:rFonts w:hint="eastAsia" w:ascii="宋体" w:hAnsi="宋体" w:eastAsia="宋体" w:cs="宋体"/>
          <w:color w:val="auto"/>
          <w:kern w:val="0"/>
          <w:sz w:val="28"/>
          <w:szCs w:val="28"/>
          <w:shd w:val="clear" w:fill="FFFFFF"/>
          <w:lang w:val="en-US" w:eastAsia="zh-CN"/>
        </w:rPr>
        <w:t>广东信盈达技术有限公司、TCL华星光电技术有限公司、国网湘西供电公司</w:t>
      </w:r>
      <w:r>
        <w:rPr>
          <w:rFonts w:hint="eastAsia" w:ascii="宋体" w:hAnsi="宋体" w:eastAsia="宋体" w:cs="宋体"/>
          <w:color w:val="auto"/>
          <w:kern w:val="0"/>
          <w:sz w:val="28"/>
          <w:szCs w:val="28"/>
          <w:shd w:val="clear" w:fill="FFFFFF"/>
          <w:lang w:eastAsia="zh-CN"/>
        </w:rPr>
        <w:t>等多家企业建立了</w:t>
      </w:r>
      <w:r>
        <w:rPr>
          <w:rFonts w:hint="eastAsia" w:ascii="宋体" w:hAnsi="宋体" w:eastAsia="宋体" w:cs="宋体"/>
          <w:color w:val="auto"/>
          <w:kern w:val="0"/>
          <w:sz w:val="28"/>
          <w:szCs w:val="28"/>
          <w:shd w:val="clear" w:fill="FFFFFF"/>
          <w:lang w:val="en-US" w:eastAsia="zh-CN"/>
        </w:rPr>
        <w:t>院企</w:t>
      </w:r>
      <w:r>
        <w:rPr>
          <w:rFonts w:hint="eastAsia" w:ascii="宋体" w:hAnsi="宋体" w:eastAsia="宋体" w:cs="宋体"/>
          <w:color w:val="auto"/>
          <w:kern w:val="0"/>
          <w:sz w:val="28"/>
          <w:szCs w:val="28"/>
          <w:shd w:val="clear" w:fill="FFFFFF"/>
          <w:lang w:eastAsia="zh-CN"/>
        </w:rPr>
        <w:t>合作关系。</w:t>
      </w:r>
      <w:r>
        <w:rPr>
          <w:rFonts w:hint="eastAsia" w:ascii="宋体" w:hAnsi="宋体" w:eastAsia="宋体" w:cs="宋体"/>
          <w:color w:val="auto"/>
          <w:kern w:val="0"/>
          <w:sz w:val="28"/>
          <w:szCs w:val="28"/>
          <w:shd w:val="clear" w:fill="FFFFFF"/>
          <w:lang w:val="en-US" w:eastAsia="zh-CN"/>
        </w:rPr>
        <w:t>二是开展访企拓岗。根据学校的安排，学院党政领导班子先后到株洲、湘潭、湘西州高新区有关企业，开拓就业渠道和就业岗位。三</w:t>
      </w:r>
      <w:r>
        <w:rPr>
          <w:rFonts w:hint="eastAsia" w:ascii="宋体" w:hAnsi="宋体" w:eastAsia="宋体" w:cs="宋体"/>
          <w:color w:val="auto"/>
          <w:kern w:val="0"/>
          <w:sz w:val="28"/>
          <w:szCs w:val="28"/>
          <w:shd w:val="clear" w:fill="FFFFFF"/>
        </w:rPr>
        <w:t>是对在校生、毕业生及用人单位开展调查走访，先后组织</w:t>
      </w:r>
      <w:r>
        <w:rPr>
          <w:rFonts w:hint="eastAsia" w:ascii="宋体" w:hAnsi="宋体" w:eastAsia="宋体" w:cs="宋体"/>
          <w:color w:val="auto"/>
          <w:kern w:val="0"/>
          <w:sz w:val="28"/>
          <w:szCs w:val="28"/>
          <w:shd w:val="clear" w:fill="FFFFFF"/>
          <w:lang w:val="en-US" w:eastAsia="zh-CN"/>
        </w:rPr>
        <w:t>6</w:t>
      </w:r>
      <w:r>
        <w:rPr>
          <w:rFonts w:hint="eastAsia" w:ascii="宋体" w:hAnsi="宋体" w:eastAsia="宋体" w:cs="宋体"/>
          <w:color w:val="auto"/>
          <w:kern w:val="0"/>
          <w:sz w:val="28"/>
          <w:szCs w:val="28"/>
          <w:shd w:val="clear" w:fill="FFFFFF"/>
        </w:rPr>
        <w:t>批</w:t>
      </w:r>
      <w:r>
        <w:rPr>
          <w:rFonts w:hint="eastAsia" w:ascii="宋体" w:hAnsi="宋体" w:eastAsia="宋体" w:cs="宋体"/>
          <w:color w:val="auto"/>
          <w:kern w:val="0"/>
          <w:sz w:val="28"/>
          <w:szCs w:val="28"/>
          <w:shd w:val="clear" w:fill="FFFFFF"/>
          <w:lang w:val="en-US" w:eastAsia="zh-CN"/>
        </w:rPr>
        <w:t>20余人</w:t>
      </w:r>
      <w:r>
        <w:rPr>
          <w:rFonts w:hint="eastAsia" w:ascii="宋体" w:hAnsi="宋体" w:eastAsia="宋体" w:cs="宋体"/>
          <w:color w:val="auto"/>
          <w:kern w:val="0"/>
          <w:sz w:val="28"/>
          <w:szCs w:val="28"/>
          <w:shd w:val="clear" w:fill="FFFFFF"/>
        </w:rPr>
        <w:t>次赴</w:t>
      </w:r>
      <w:r>
        <w:rPr>
          <w:rFonts w:hint="eastAsia" w:ascii="宋体" w:hAnsi="宋体" w:eastAsia="宋体" w:cs="宋体"/>
          <w:color w:val="auto"/>
          <w:kern w:val="0"/>
          <w:sz w:val="28"/>
          <w:szCs w:val="28"/>
          <w:shd w:val="clear" w:fill="FFFFFF"/>
          <w:lang w:eastAsia="zh-CN"/>
        </w:rPr>
        <w:t>湖南、</w:t>
      </w:r>
      <w:r>
        <w:rPr>
          <w:rFonts w:hint="eastAsia" w:ascii="宋体" w:hAnsi="宋体" w:eastAsia="宋体" w:cs="宋体"/>
          <w:color w:val="auto"/>
          <w:kern w:val="0"/>
          <w:sz w:val="28"/>
          <w:szCs w:val="28"/>
          <w:shd w:val="clear" w:fill="FFFFFF"/>
          <w:lang w:val="en-US" w:eastAsia="zh-CN"/>
        </w:rPr>
        <w:t>江西、江苏</w:t>
      </w:r>
      <w:r>
        <w:rPr>
          <w:rFonts w:hint="eastAsia" w:ascii="宋体" w:hAnsi="宋体" w:eastAsia="宋体" w:cs="宋体"/>
          <w:color w:val="auto"/>
          <w:kern w:val="0"/>
          <w:sz w:val="28"/>
          <w:szCs w:val="28"/>
          <w:shd w:val="clear" w:fill="FFFFFF"/>
        </w:rPr>
        <w:t>等地走访校友、考察企事业单位和实习基地，了解各专业毕业生就业情况和用人单位对人才的需求，并完成考察报告。</w:t>
      </w:r>
      <w:r>
        <w:rPr>
          <w:rFonts w:hint="eastAsia" w:ascii="宋体" w:hAnsi="宋体" w:eastAsia="宋体" w:cs="宋体"/>
          <w:color w:val="auto"/>
          <w:kern w:val="0"/>
          <w:sz w:val="28"/>
          <w:szCs w:val="28"/>
          <w:shd w:val="clear" w:fill="FFFFFF"/>
          <w:lang w:val="en-US" w:eastAsia="zh-CN"/>
        </w:rPr>
        <w:t>四</w:t>
      </w:r>
      <w:r>
        <w:rPr>
          <w:rFonts w:hint="eastAsia" w:ascii="宋体" w:hAnsi="宋体" w:eastAsia="宋体" w:cs="宋体"/>
          <w:color w:val="auto"/>
          <w:kern w:val="0"/>
          <w:sz w:val="28"/>
          <w:szCs w:val="28"/>
          <w:shd w:val="clear" w:fill="FFFFFF"/>
        </w:rPr>
        <w:t>是举办“吉首大学信息科学与工程学院20</w:t>
      </w:r>
      <w:r>
        <w:rPr>
          <w:rFonts w:hint="eastAsia" w:ascii="宋体" w:hAnsi="宋体" w:eastAsia="宋体" w:cs="宋体"/>
          <w:color w:val="auto"/>
          <w:kern w:val="0"/>
          <w:sz w:val="28"/>
          <w:szCs w:val="28"/>
          <w:shd w:val="clear" w:fill="FFFFFF"/>
          <w:lang w:val="en-US" w:eastAsia="zh-CN"/>
        </w:rPr>
        <w:t>22</w:t>
      </w:r>
      <w:r>
        <w:rPr>
          <w:rFonts w:hint="eastAsia" w:ascii="宋体" w:hAnsi="宋体" w:eastAsia="宋体" w:cs="宋体"/>
          <w:color w:val="auto"/>
          <w:kern w:val="0"/>
          <w:sz w:val="28"/>
          <w:szCs w:val="28"/>
          <w:shd w:val="clear" w:fill="FFFFFF"/>
        </w:rPr>
        <w:t>届毕业生</w:t>
      </w:r>
      <w:r>
        <w:rPr>
          <w:rFonts w:hint="eastAsia" w:ascii="宋体" w:hAnsi="宋体" w:eastAsia="宋体" w:cs="宋体"/>
          <w:color w:val="auto"/>
          <w:kern w:val="0"/>
          <w:sz w:val="28"/>
          <w:szCs w:val="28"/>
          <w:shd w:val="clear" w:fill="FFFFFF"/>
          <w:lang w:val="en-US" w:eastAsia="zh-CN"/>
        </w:rPr>
        <w:t>网络视频</w:t>
      </w:r>
      <w:r>
        <w:rPr>
          <w:rFonts w:hint="eastAsia" w:ascii="宋体" w:hAnsi="宋体" w:eastAsia="宋体" w:cs="宋体"/>
          <w:color w:val="auto"/>
          <w:kern w:val="0"/>
          <w:sz w:val="28"/>
          <w:szCs w:val="28"/>
          <w:shd w:val="clear" w:fill="FFFFFF"/>
        </w:rPr>
        <w:t>招聘</w:t>
      </w:r>
      <w:r>
        <w:rPr>
          <w:rFonts w:hint="eastAsia" w:ascii="宋体" w:hAnsi="宋体" w:eastAsia="宋体" w:cs="宋体"/>
          <w:color w:val="auto"/>
          <w:kern w:val="0"/>
          <w:sz w:val="28"/>
          <w:szCs w:val="28"/>
          <w:shd w:val="clear" w:fill="FFFFFF"/>
          <w:lang w:val="en-US" w:eastAsia="zh-CN"/>
        </w:rPr>
        <w:t>周</w:t>
      </w:r>
      <w:r>
        <w:rPr>
          <w:rFonts w:hint="eastAsia" w:ascii="宋体" w:hAnsi="宋体" w:eastAsia="宋体" w:cs="宋体"/>
          <w:color w:val="auto"/>
          <w:kern w:val="0"/>
          <w:sz w:val="28"/>
          <w:szCs w:val="28"/>
          <w:shd w:val="clear" w:fill="FFFFFF"/>
        </w:rPr>
        <w:t>”活动，主动与用人单位联系，</w:t>
      </w:r>
      <w:r>
        <w:rPr>
          <w:rFonts w:hint="eastAsia" w:ascii="宋体" w:hAnsi="宋体" w:eastAsia="宋体" w:cs="宋体"/>
          <w:color w:val="auto"/>
          <w:kern w:val="0"/>
          <w:sz w:val="28"/>
          <w:szCs w:val="28"/>
          <w:shd w:val="clear" w:fill="FFFFFF"/>
          <w:lang w:val="en-US" w:eastAsia="zh-CN"/>
        </w:rPr>
        <w:t>因疫情影响，</w:t>
      </w:r>
      <w:r>
        <w:rPr>
          <w:rFonts w:hint="eastAsia" w:ascii="宋体" w:hAnsi="宋体" w:eastAsia="宋体" w:cs="宋体"/>
          <w:color w:val="auto"/>
          <w:kern w:val="0"/>
          <w:sz w:val="28"/>
          <w:szCs w:val="28"/>
          <w:shd w:val="clear" w:fill="FFFFFF"/>
        </w:rPr>
        <w:t>先后邀请了</w:t>
      </w:r>
      <w:r>
        <w:rPr>
          <w:rFonts w:hint="eastAsia" w:ascii="宋体" w:hAnsi="宋体" w:eastAsia="宋体" w:cs="宋体"/>
          <w:color w:val="auto"/>
          <w:kern w:val="0"/>
          <w:sz w:val="28"/>
          <w:szCs w:val="28"/>
          <w:shd w:val="clear" w:fill="FFFFFF"/>
          <w:lang w:val="en-US" w:eastAsia="zh-CN"/>
        </w:rPr>
        <w:t>近40余</w:t>
      </w:r>
      <w:r>
        <w:rPr>
          <w:rFonts w:hint="eastAsia" w:ascii="宋体" w:hAnsi="宋体" w:eastAsia="宋体" w:cs="宋体"/>
          <w:color w:val="auto"/>
          <w:kern w:val="0"/>
          <w:sz w:val="28"/>
          <w:szCs w:val="28"/>
          <w:shd w:val="clear" w:fill="FFFFFF"/>
        </w:rPr>
        <w:t>家用人单位来校</w:t>
      </w:r>
      <w:r>
        <w:rPr>
          <w:rFonts w:hint="eastAsia" w:ascii="宋体" w:hAnsi="宋体" w:eastAsia="宋体" w:cs="宋体"/>
          <w:color w:val="auto"/>
          <w:kern w:val="0"/>
          <w:sz w:val="28"/>
          <w:szCs w:val="28"/>
          <w:shd w:val="clear" w:fill="FFFFFF"/>
          <w:lang w:val="en-US" w:eastAsia="zh-CN"/>
        </w:rPr>
        <w:t>或线上</w:t>
      </w:r>
      <w:r>
        <w:rPr>
          <w:rFonts w:hint="eastAsia" w:ascii="宋体" w:hAnsi="宋体" w:eastAsia="宋体" w:cs="宋体"/>
          <w:color w:val="auto"/>
          <w:kern w:val="0"/>
          <w:sz w:val="28"/>
          <w:szCs w:val="28"/>
          <w:shd w:val="clear" w:fill="FFFFFF"/>
        </w:rPr>
        <w:t>进行专场招聘会</w:t>
      </w:r>
      <w:r>
        <w:rPr>
          <w:rFonts w:hint="eastAsia" w:ascii="宋体" w:hAnsi="宋体" w:eastAsia="宋体" w:cs="宋体"/>
          <w:color w:val="auto"/>
          <w:kern w:val="0"/>
          <w:sz w:val="28"/>
          <w:szCs w:val="28"/>
          <w:shd w:val="clear" w:fill="FFFFFF"/>
          <w:lang w:eastAsia="zh-CN"/>
        </w:rPr>
        <w:t>和宣讲会。积极探索“顶岗实习”，与</w:t>
      </w:r>
      <w:r>
        <w:rPr>
          <w:rFonts w:hint="eastAsia" w:ascii="宋体" w:hAnsi="宋体" w:eastAsia="宋体" w:cs="宋体"/>
          <w:color w:val="auto"/>
          <w:kern w:val="0"/>
          <w:sz w:val="28"/>
          <w:szCs w:val="28"/>
          <w:shd w:val="clear" w:fill="FFFFFF"/>
        </w:rPr>
        <w:t>广州金升阳科技有限公司、海南创讯技术有限公司</w:t>
      </w:r>
      <w:r>
        <w:rPr>
          <w:rFonts w:hint="eastAsia" w:ascii="宋体" w:hAnsi="宋体" w:eastAsia="宋体" w:cs="宋体"/>
          <w:color w:val="auto"/>
          <w:kern w:val="0"/>
          <w:sz w:val="28"/>
          <w:szCs w:val="28"/>
          <w:shd w:val="clear" w:fill="FFFFFF"/>
          <w:lang w:val="en-US" w:eastAsia="zh-CN"/>
        </w:rPr>
        <w:t>、广东领益智造股份有限公司、衡阳镭目科技有限责任公司</w:t>
      </w:r>
      <w:r>
        <w:rPr>
          <w:rFonts w:hint="eastAsia" w:ascii="宋体" w:hAnsi="宋体" w:eastAsia="宋体" w:cs="宋体"/>
          <w:color w:val="auto"/>
          <w:kern w:val="0"/>
          <w:sz w:val="28"/>
          <w:szCs w:val="28"/>
          <w:shd w:val="clear" w:fill="FFFFFF"/>
        </w:rPr>
        <w:t>等</w:t>
      </w:r>
      <w:r>
        <w:rPr>
          <w:rFonts w:hint="eastAsia" w:ascii="宋体" w:hAnsi="宋体" w:eastAsia="宋体" w:cs="宋体"/>
          <w:color w:val="auto"/>
          <w:kern w:val="0"/>
          <w:sz w:val="28"/>
          <w:szCs w:val="28"/>
          <w:shd w:val="clear" w:fill="FFFFFF"/>
          <w:lang w:val="en-US" w:eastAsia="zh-CN"/>
        </w:rPr>
        <w:t>48</w:t>
      </w:r>
      <w:r>
        <w:rPr>
          <w:rFonts w:hint="eastAsia" w:ascii="宋体" w:hAnsi="宋体" w:eastAsia="宋体" w:cs="宋体"/>
          <w:color w:val="auto"/>
          <w:kern w:val="0"/>
          <w:sz w:val="28"/>
          <w:szCs w:val="28"/>
          <w:shd w:val="clear" w:fill="FFFFFF"/>
        </w:rPr>
        <w:t>家企业达成了顶岗实习合作意向，20</w:t>
      </w:r>
      <w:r>
        <w:rPr>
          <w:rFonts w:hint="eastAsia" w:ascii="宋体" w:hAnsi="宋体" w:eastAsia="宋体" w:cs="宋体"/>
          <w:color w:val="auto"/>
          <w:kern w:val="0"/>
          <w:sz w:val="28"/>
          <w:szCs w:val="28"/>
          <w:shd w:val="clear" w:fill="FFFFFF"/>
          <w:lang w:val="en-US" w:eastAsia="zh-CN"/>
        </w:rPr>
        <w:t>22</w:t>
      </w:r>
      <w:r>
        <w:rPr>
          <w:rFonts w:hint="eastAsia" w:ascii="宋体" w:hAnsi="宋体" w:eastAsia="宋体" w:cs="宋体"/>
          <w:color w:val="auto"/>
          <w:kern w:val="0"/>
          <w:sz w:val="28"/>
          <w:szCs w:val="28"/>
          <w:shd w:val="clear" w:fill="FFFFFF"/>
        </w:rPr>
        <w:t>届毕业生共有</w:t>
      </w:r>
      <w:r>
        <w:rPr>
          <w:rFonts w:hint="eastAsia" w:ascii="宋体" w:hAnsi="宋体" w:eastAsia="宋体" w:cs="宋体"/>
          <w:color w:val="auto"/>
          <w:kern w:val="0"/>
          <w:sz w:val="28"/>
          <w:szCs w:val="28"/>
          <w:shd w:val="clear" w:fill="FFFFFF"/>
          <w:lang w:val="en-US" w:eastAsia="zh-CN"/>
        </w:rPr>
        <w:t>30</w:t>
      </w:r>
      <w:r>
        <w:rPr>
          <w:rFonts w:hint="eastAsia" w:ascii="宋体" w:hAnsi="宋体" w:eastAsia="宋体" w:cs="宋体"/>
          <w:color w:val="auto"/>
          <w:kern w:val="0"/>
          <w:sz w:val="28"/>
          <w:szCs w:val="28"/>
          <w:shd w:val="clear" w:fill="FFFFFF"/>
        </w:rPr>
        <w:t>余人选择“顶岗实习”毕业实习方式。</w:t>
      </w:r>
    </w:p>
    <w:p>
      <w:pPr>
        <w:keepNext w:val="0"/>
        <w:keepLines w:val="0"/>
        <w:pageBreakBefore w:val="0"/>
        <w:widowControl/>
        <w:numPr>
          <w:ilvl w:val="0"/>
          <w:numId w:val="0"/>
        </w:numPr>
        <w:overflowPunct w:val="0"/>
        <w:bidi w:val="0"/>
        <w:snapToGrid/>
        <w:ind w:left="0" w:right="0" w:firstLine="562" w:firstLineChars="200"/>
        <w:jc w:val="both"/>
        <w:textAlignment w:val="auto"/>
        <w:outlineLvl w:val="1"/>
        <w:rPr>
          <w:rFonts w:hint="eastAsia" w:ascii="宋体" w:hAnsi="宋体" w:eastAsia="宋体" w:cs="宋体"/>
          <w:b/>
          <w:color w:val="auto"/>
          <w:sz w:val="28"/>
          <w:szCs w:val="28"/>
        </w:rPr>
      </w:pPr>
      <w:bookmarkStart w:id="58" w:name="_Toc16911"/>
      <w:r>
        <w:rPr>
          <w:rFonts w:hint="eastAsia" w:ascii="宋体" w:hAnsi="宋体" w:eastAsia="宋体" w:cs="宋体"/>
          <w:b/>
          <w:color w:val="auto"/>
          <w:sz w:val="28"/>
          <w:szCs w:val="28"/>
          <w:lang w:eastAsia="zh-CN"/>
        </w:rPr>
        <w:t>（五）搭平台及时</w:t>
      </w:r>
      <w:r>
        <w:rPr>
          <w:rFonts w:hint="eastAsia" w:ascii="宋体" w:hAnsi="宋体" w:eastAsia="宋体" w:cs="宋体"/>
          <w:b/>
          <w:color w:val="auto"/>
          <w:sz w:val="28"/>
          <w:szCs w:val="28"/>
        </w:rPr>
        <w:t>发布就业信息</w:t>
      </w:r>
      <w:bookmarkEnd w:id="58"/>
    </w:p>
    <w:p>
      <w:pPr>
        <w:widowControl/>
        <w:ind w:left="0" w:right="0" w:firstLine="560"/>
        <w:jc w:val="both"/>
        <w:rPr>
          <w:rFonts w:hint="eastAsia" w:ascii="宋体" w:hAnsi="宋体" w:eastAsia="宋体" w:cs="宋体"/>
          <w:color w:val="auto"/>
          <w:kern w:val="0"/>
          <w:sz w:val="28"/>
          <w:szCs w:val="28"/>
          <w:shd w:val="clear" w:fill="FFFFFF"/>
        </w:rPr>
      </w:pPr>
      <w:r>
        <w:rPr>
          <w:rFonts w:hint="eastAsia" w:ascii="宋体" w:hAnsi="宋体" w:eastAsia="宋体" w:cs="宋体"/>
          <w:bCs/>
          <w:color w:val="auto"/>
          <w:sz w:val="28"/>
          <w:szCs w:val="28"/>
        </w:rPr>
        <w:t>及时发布就业信息，</w:t>
      </w:r>
      <w:r>
        <w:rPr>
          <w:rFonts w:hint="eastAsia" w:ascii="宋体" w:hAnsi="宋体" w:eastAsia="宋体" w:cs="宋体"/>
          <w:bCs/>
          <w:color w:val="auto"/>
          <w:sz w:val="28"/>
          <w:szCs w:val="28"/>
          <w:lang w:eastAsia="zh-CN"/>
        </w:rPr>
        <w:t>使</w:t>
      </w:r>
      <w:r>
        <w:rPr>
          <w:rFonts w:hint="eastAsia" w:ascii="宋体" w:hAnsi="宋体" w:eastAsia="宋体" w:cs="宋体"/>
          <w:color w:val="auto"/>
          <w:kern w:val="0"/>
          <w:sz w:val="28"/>
          <w:szCs w:val="28"/>
          <w:shd w:val="clear" w:fill="FFFFFF"/>
        </w:rPr>
        <w:t>就业创业信息收集和发布工作常态化</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lang w:val="en-US" w:eastAsia="zh-CN"/>
        </w:rPr>
        <w:t>2022年12月举办网络视频双选会，平台收集30家优质企业进行线上招聘，邀请2022届未就业毕业生参加。另外</w:t>
      </w:r>
      <w:r>
        <w:rPr>
          <w:rFonts w:hint="eastAsia" w:ascii="宋体" w:hAnsi="宋体" w:eastAsia="宋体" w:cs="宋体"/>
          <w:color w:val="auto"/>
          <w:kern w:val="0"/>
          <w:sz w:val="28"/>
          <w:szCs w:val="28"/>
          <w:shd w:val="clear" w:fill="FFFFFF"/>
        </w:rPr>
        <w:t>通过QQ群、微信、手机短信、学院网站“就业信息”栏目等信息公布平台，将就业创业最新政策和各类信息及时传递给每一位毕业生，为毕业生就业创业提供准确的政策指导和充足的就业信息，实现了就业信息服务系统化、多样化。就业专干通过QQ群、</w:t>
      </w:r>
      <w:r>
        <w:rPr>
          <w:rFonts w:hint="eastAsia" w:ascii="宋体" w:hAnsi="宋体" w:eastAsia="宋体" w:cs="宋体"/>
          <w:color w:val="auto"/>
          <w:kern w:val="0"/>
          <w:sz w:val="28"/>
          <w:szCs w:val="28"/>
          <w:shd w:val="clear" w:fill="FFFFFF"/>
          <w:lang w:val="en-US" w:eastAsia="zh-CN"/>
        </w:rPr>
        <w:t>微信公众号推送</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val="en-US" w:eastAsia="zh-CN"/>
        </w:rPr>
        <w:t>学院</w:t>
      </w:r>
      <w:r>
        <w:rPr>
          <w:rFonts w:hint="eastAsia" w:ascii="宋体" w:hAnsi="宋体" w:eastAsia="宋体" w:cs="宋体"/>
          <w:color w:val="auto"/>
          <w:kern w:val="0"/>
          <w:sz w:val="28"/>
          <w:szCs w:val="28"/>
          <w:shd w:val="clear" w:fill="FFFFFF"/>
        </w:rPr>
        <w:t>网站等媒介与各届毕业生长期保持联系。20</w:t>
      </w:r>
      <w:r>
        <w:rPr>
          <w:rFonts w:hint="eastAsia" w:ascii="宋体" w:hAnsi="宋体" w:eastAsia="宋体" w:cs="宋体"/>
          <w:color w:val="auto"/>
          <w:kern w:val="0"/>
          <w:sz w:val="28"/>
          <w:szCs w:val="28"/>
          <w:shd w:val="clear" w:fill="FFFFFF"/>
          <w:lang w:val="en-US" w:eastAsia="zh-CN"/>
        </w:rPr>
        <w:t>22</w:t>
      </w:r>
      <w:r>
        <w:rPr>
          <w:rFonts w:hint="eastAsia" w:ascii="宋体" w:hAnsi="宋体" w:eastAsia="宋体" w:cs="宋体"/>
          <w:color w:val="auto"/>
          <w:kern w:val="0"/>
          <w:sz w:val="28"/>
          <w:szCs w:val="28"/>
          <w:shd w:val="clear" w:fill="FFFFFF"/>
        </w:rPr>
        <w:t>年共发布</w:t>
      </w:r>
      <w:r>
        <w:rPr>
          <w:rFonts w:hint="eastAsia" w:ascii="宋体" w:hAnsi="宋体" w:eastAsia="宋体" w:cs="宋体"/>
          <w:color w:val="auto"/>
          <w:kern w:val="0"/>
          <w:sz w:val="28"/>
          <w:szCs w:val="28"/>
          <w:shd w:val="clear" w:fill="FFFFFF"/>
          <w:lang w:val="en-US" w:eastAsia="zh-CN"/>
        </w:rPr>
        <w:t>70多</w:t>
      </w:r>
      <w:r>
        <w:rPr>
          <w:rFonts w:hint="eastAsia" w:ascii="宋体" w:hAnsi="宋体" w:eastAsia="宋体" w:cs="宋体"/>
          <w:color w:val="auto"/>
          <w:kern w:val="0"/>
          <w:sz w:val="28"/>
          <w:szCs w:val="28"/>
          <w:shd w:val="clear" w:fill="FFFFFF"/>
        </w:rPr>
        <w:t>家用人单位招聘信息，提供就业岗位</w:t>
      </w:r>
      <w:r>
        <w:rPr>
          <w:rFonts w:hint="eastAsia" w:ascii="宋体" w:hAnsi="宋体" w:eastAsia="宋体" w:cs="宋体"/>
          <w:color w:val="auto"/>
          <w:kern w:val="0"/>
          <w:sz w:val="28"/>
          <w:szCs w:val="28"/>
          <w:shd w:val="clear" w:fill="FFFFFF"/>
          <w:lang w:val="en-US" w:eastAsia="zh-CN"/>
        </w:rPr>
        <w:t>1600</w:t>
      </w:r>
      <w:r>
        <w:rPr>
          <w:rFonts w:hint="eastAsia" w:ascii="宋体" w:hAnsi="宋体" w:eastAsia="宋体" w:cs="宋体"/>
          <w:color w:val="auto"/>
          <w:kern w:val="0"/>
          <w:sz w:val="28"/>
          <w:szCs w:val="28"/>
          <w:shd w:val="clear" w:fill="FFFFFF"/>
        </w:rPr>
        <w:t>余个，涉及计算机科学与技术、通信工程、电气工程及其自动化、电子信息工程</w:t>
      </w:r>
      <w:r>
        <w:rPr>
          <w:rFonts w:hint="eastAsia" w:ascii="宋体" w:hAnsi="宋体" w:eastAsia="宋体" w:cs="宋体"/>
          <w:color w:val="auto"/>
          <w:kern w:val="0"/>
          <w:sz w:val="28"/>
          <w:szCs w:val="28"/>
          <w:shd w:val="clear" w:fill="FFFFFF"/>
          <w:lang w:eastAsia="zh-CN"/>
        </w:rPr>
        <w:t>、</w:t>
      </w:r>
      <w:r>
        <w:rPr>
          <w:rFonts w:hint="eastAsia" w:ascii="宋体" w:hAnsi="宋体" w:eastAsia="宋体" w:cs="宋体"/>
          <w:color w:val="auto"/>
          <w:kern w:val="0"/>
          <w:sz w:val="28"/>
          <w:szCs w:val="28"/>
          <w:shd w:val="clear" w:fill="FFFFFF"/>
          <w:lang w:val="en-US" w:eastAsia="zh-CN"/>
        </w:rPr>
        <w:t>数据科学与大数据技术五</w:t>
      </w:r>
      <w:r>
        <w:rPr>
          <w:rFonts w:hint="eastAsia" w:ascii="宋体" w:hAnsi="宋体" w:eastAsia="宋体" w:cs="宋体"/>
          <w:color w:val="auto"/>
          <w:kern w:val="0"/>
          <w:sz w:val="28"/>
          <w:szCs w:val="28"/>
          <w:shd w:val="clear" w:fill="FFFFFF"/>
          <w:lang w:eastAsia="zh-CN"/>
        </w:rPr>
        <w:t>个本科专</w:t>
      </w:r>
      <w:r>
        <w:rPr>
          <w:rFonts w:hint="eastAsia" w:ascii="宋体" w:hAnsi="宋体" w:eastAsia="宋体" w:cs="宋体"/>
          <w:color w:val="auto"/>
          <w:kern w:val="0"/>
          <w:sz w:val="28"/>
          <w:szCs w:val="28"/>
          <w:shd w:val="clear" w:fill="FFFFFF"/>
        </w:rPr>
        <w:t>业，为提高毕业生的就业率和就业质量起到了推动作用。</w:t>
      </w:r>
    </w:p>
    <w:p>
      <w:pPr>
        <w:keepNext w:val="0"/>
        <w:keepLines w:val="0"/>
        <w:pageBreakBefore w:val="0"/>
        <w:widowControl/>
        <w:numPr>
          <w:ilvl w:val="0"/>
          <w:numId w:val="0"/>
        </w:numPr>
        <w:overflowPunct w:val="0"/>
        <w:bidi w:val="0"/>
        <w:snapToGrid/>
        <w:ind w:left="0" w:right="0" w:firstLine="562" w:firstLineChars="200"/>
        <w:jc w:val="both"/>
        <w:textAlignment w:val="auto"/>
        <w:outlineLvl w:val="1"/>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（六）</w:t>
      </w:r>
      <w:r>
        <w:rPr>
          <w:rFonts w:hint="eastAsia" w:ascii="宋体" w:hAnsi="宋体" w:eastAsia="宋体" w:cs="宋体"/>
          <w:b/>
          <w:color w:val="auto"/>
          <w:sz w:val="28"/>
          <w:szCs w:val="28"/>
        </w:rPr>
        <w:t>优化就业创业指导和服务工作</w:t>
      </w:r>
    </w:p>
    <w:p>
      <w:pPr>
        <w:widowControl/>
        <w:ind w:left="0" w:right="0" w:firstLine="560"/>
        <w:jc w:val="both"/>
        <w:rPr>
          <w:rFonts w:hint="eastAsia" w:ascii="宋体" w:hAnsi="宋体" w:eastAsia="宋体" w:cs="宋体"/>
          <w:bCs/>
          <w:sz w:val="28"/>
          <w:szCs w:val="28"/>
        </w:rPr>
      </w:pPr>
      <w:r>
        <w:rPr>
          <w:rFonts w:hint="eastAsia" w:ascii="宋体" w:hAnsi="宋体" w:eastAsia="宋体" w:cs="宋体"/>
          <w:bCs/>
          <w:color w:val="auto"/>
          <w:sz w:val="28"/>
          <w:szCs w:val="28"/>
        </w:rPr>
        <w:t>优化就业创业指导和服务工作。开展个性化就业创业工作，学</w:t>
      </w:r>
      <w:r>
        <w:rPr>
          <w:rFonts w:hint="eastAsia" w:ascii="宋体" w:hAnsi="宋体" w:eastAsia="宋体" w:cs="宋体"/>
          <w:color w:val="auto"/>
          <w:kern w:val="0"/>
          <w:sz w:val="28"/>
          <w:szCs w:val="28"/>
          <w:shd w:val="clear" w:fill="FFFFFF"/>
        </w:rPr>
        <w:t>院针对毕业生个性化需要从三个方面开展就业创业服务：一是教研室根据毕业生需求开展就业咨询与服务，有记录，有总结，有分析；二是</w:t>
      </w:r>
      <w:r>
        <w:rPr>
          <w:rFonts w:hint="eastAsia" w:ascii="宋体" w:hAnsi="宋体" w:eastAsia="宋体" w:cs="宋体"/>
          <w:color w:val="auto"/>
          <w:kern w:val="0"/>
          <w:sz w:val="28"/>
          <w:szCs w:val="28"/>
          <w:shd w:val="clear" w:fill="FFFFFF"/>
          <w:lang w:val="en-US" w:eastAsia="zh-CN"/>
        </w:rPr>
        <w:t>开展</w:t>
      </w:r>
      <w:r>
        <w:rPr>
          <w:rFonts w:hint="eastAsia" w:ascii="宋体" w:hAnsi="宋体" w:eastAsia="宋体" w:cs="宋体"/>
          <w:color w:val="auto"/>
          <w:kern w:val="0"/>
          <w:sz w:val="28"/>
          <w:szCs w:val="28"/>
          <w:shd w:val="clear" w:fill="FFFFFF"/>
        </w:rPr>
        <w:t>系统性就业创业服务指导，为提高学生求职能力，学院专门邀请了北京千锋互联科技有限公司的专业团队</w:t>
      </w:r>
      <w:r>
        <w:rPr>
          <w:rFonts w:hint="eastAsia" w:ascii="宋体" w:hAnsi="宋体" w:eastAsia="宋体" w:cs="宋体"/>
          <w:color w:val="auto"/>
          <w:kern w:val="0"/>
          <w:sz w:val="28"/>
          <w:szCs w:val="28"/>
          <w:shd w:val="clear" w:fill="FFFFFF"/>
          <w:lang w:eastAsia="zh-CN"/>
        </w:rPr>
        <w:t>针对</w:t>
      </w:r>
      <w:r>
        <w:rPr>
          <w:rFonts w:hint="eastAsia" w:ascii="宋体" w:hAnsi="宋体" w:eastAsia="宋体" w:cs="宋体"/>
          <w:color w:val="auto"/>
          <w:kern w:val="0"/>
          <w:sz w:val="28"/>
          <w:szCs w:val="28"/>
          <w:shd w:val="clear" w:fill="FFFFFF"/>
          <w:lang w:val="en-US" w:eastAsia="zh-CN"/>
        </w:rPr>
        <w:t>2018级毕业生</w:t>
      </w:r>
      <w:r>
        <w:rPr>
          <w:rFonts w:hint="eastAsia" w:ascii="宋体" w:hAnsi="宋体" w:eastAsia="宋体" w:cs="宋体"/>
          <w:color w:val="auto"/>
          <w:kern w:val="0"/>
          <w:sz w:val="28"/>
          <w:szCs w:val="28"/>
          <w:shd w:val="clear" w:fill="FFFFFF"/>
        </w:rPr>
        <w:t>举办了为期一周的面试技巧培训，内容涵盖就业意向调查、简历制作、面试技巧的传授、求职模拟演练等各个环节</w:t>
      </w:r>
      <w:r>
        <w:rPr>
          <w:rFonts w:hint="eastAsia" w:ascii="宋体" w:hAnsi="宋体" w:eastAsia="宋体" w:cs="宋体"/>
          <w:color w:val="auto"/>
          <w:kern w:val="0"/>
          <w:sz w:val="28"/>
          <w:szCs w:val="28"/>
          <w:shd w:val="clear" w:fill="FFFFFF"/>
          <w:lang w:eastAsia="zh-CN"/>
        </w:rPr>
        <w:t>，实现了毕业生全覆盖</w:t>
      </w:r>
      <w:r>
        <w:rPr>
          <w:rFonts w:hint="eastAsia" w:ascii="宋体" w:hAnsi="宋体" w:eastAsia="宋体" w:cs="宋体"/>
          <w:color w:val="auto"/>
          <w:kern w:val="0"/>
          <w:sz w:val="28"/>
          <w:szCs w:val="28"/>
          <w:shd w:val="clear" w:fill="FFFFFF"/>
        </w:rPr>
        <w:t>，极大地提升了毕业生求职能力，得到学生的好评；三是特殊群体的“一对一”帮扶</w:t>
      </w:r>
      <w:r>
        <w:rPr>
          <w:rFonts w:hint="eastAsia" w:ascii="宋体" w:hAnsi="宋体" w:eastAsia="宋体" w:cs="宋体"/>
          <w:color w:val="auto"/>
          <w:kern w:val="0"/>
          <w:sz w:val="28"/>
          <w:szCs w:val="28"/>
          <w:shd w:val="clear" w:fill="FFFFFF"/>
          <w:lang w:eastAsia="zh-CN"/>
        </w:rPr>
        <w:t>，我院</w:t>
      </w:r>
      <w:r>
        <w:rPr>
          <w:rFonts w:hint="eastAsia" w:ascii="宋体" w:hAnsi="宋体" w:eastAsia="宋体" w:cs="宋体"/>
          <w:color w:val="auto"/>
          <w:kern w:val="0"/>
          <w:sz w:val="28"/>
          <w:szCs w:val="28"/>
          <w:shd w:val="clear" w:fill="FFFFFF"/>
          <w:lang w:val="en-US" w:eastAsia="zh-CN"/>
        </w:rPr>
        <w:t>2022届毕业生建档立卡学生23人，</w:t>
      </w:r>
      <w:r>
        <w:rPr>
          <w:rFonts w:hint="eastAsia" w:ascii="宋体" w:hAnsi="宋体" w:eastAsia="宋体" w:cs="宋体"/>
          <w:color w:val="auto"/>
          <w:kern w:val="0"/>
          <w:sz w:val="28"/>
          <w:szCs w:val="28"/>
          <w:shd w:val="clear" w:fill="FFFFFF"/>
        </w:rPr>
        <w:t>针对家庭困难、少数民族、农村生源等毕业生，不仅建立特殊群体毕业生就业工作台账，还搭建了“一对一”帮扶平台</w:t>
      </w:r>
      <w:r>
        <w:rPr>
          <w:rFonts w:hint="eastAsia" w:ascii="宋体" w:hAnsi="宋体" w:eastAsia="宋体" w:cs="宋体"/>
          <w:color w:val="auto"/>
          <w:kern w:val="0"/>
          <w:sz w:val="28"/>
          <w:szCs w:val="28"/>
          <w:shd w:val="clear" w:fill="FFFFFF"/>
          <w:lang w:eastAsia="zh-CN"/>
        </w:rPr>
        <w:t>，实现了有意向建档立卡毕业生</w:t>
      </w:r>
      <w:r>
        <w:rPr>
          <w:rFonts w:hint="eastAsia" w:ascii="宋体" w:hAnsi="宋体" w:eastAsia="宋体" w:cs="宋体"/>
          <w:color w:val="auto"/>
          <w:kern w:val="0"/>
          <w:sz w:val="28"/>
          <w:szCs w:val="28"/>
          <w:shd w:val="clear" w:fill="FFFFFF"/>
          <w:lang w:val="en-US" w:eastAsia="zh-CN"/>
        </w:rPr>
        <w:t>100%就业</w:t>
      </w:r>
      <w:r>
        <w:rPr>
          <w:rFonts w:hint="eastAsia" w:ascii="宋体" w:hAnsi="宋体" w:eastAsia="宋体" w:cs="宋体"/>
          <w:color w:val="auto"/>
          <w:kern w:val="0"/>
          <w:sz w:val="28"/>
          <w:szCs w:val="28"/>
          <w:shd w:val="clear" w:fill="FFFFFF"/>
        </w:rPr>
        <w:t>。</w:t>
      </w:r>
      <w:r>
        <w:rPr>
          <w:rFonts w:hint="eastAsia" w:ascii="宋体" w:hAnsi="宋体" w:eastAsia="宋体" w:cs="宋体"/>
          <w:color w:val="auto"/>
          <w:kern w:val="0"/>
          <w:sz w:val="28"/>
          <w:szCs w:val="28"/>
          <w:shd w:val="clear" w:fill="FFFFFF"/>
          <w:lang w:eastAsia="zh-CN"/>
        </w:rPr>
        <w:t>同时</w:t>
      </w:r>
      <w:r>
        <w:rPr>
          <w:rFonts w:hint="eastAsia" w:ascii="宋体" w:hAnsi="宋体" w:eastAsia="宋体" w:cs="宋体"/>
          <w:bCs/>
          <w:color w:val="auto"/>
          <w:sz w:val="28"/>
          <w:szCs w:val="28"/>
        </w:rPr>
        <w:t>积极引导和鼓励毕业生到基层就业，</w:t>
      </w:r>
      <w:r>
        <w:rPr>
          <w:rFonts w:hint="eastAsia" w:ascii="宋体" w:hAnsi="宋体" w:eastAsia="宋体" w:cs="宋体"/>
          <w:color w:val="auto"/>
          <w:kern w:val="0"/>
          <w:sz w:val="28"/>
          <w:szCs w:val="28"/>
          <w:shd w:val="clear" w:fill="FFFFFF"/>
        </w:rPr>
        <w:t>学院把基层就业作为就业指导课的一项重要内容，把面向基层就业的相关政策、信息及时传达给每个毕业生。在毕业生动员大会上，我院党委副书记</w:t>
      </w:r>
      <w:r>
        <w:rPr>
          <w:rFonts w:hint="eastAsia" w:ascii="宋体" w:hAnsi="宋体" w:eastAsia="宋体" w:cs="宋体"/>
          <w:color w:val="auto"/>
          <w:kern w:val="0"/>
          <w:sz w:val="28"/>
          <w:szCs w:val="28"/>
          <w:shd w:val="clear" w:fill="FFFFFF"/>
          <w:lang w:val="en-US" w:eastAsia="zh-CN"/>
        </w:rPr>
        <w:t>王伟</w:t>
      </w:r>
      <w:r>
        <w:rPr>
          <w:rFonts w:hint="eastAsia" w:ascii="宋体" w:hAnsi="宋体" w:eastAsia="宋体" w:cs="宋体"/>
          <w:color w:val="auto"/>
          <w:kern w:val="0"/>
          <w:sz w:val="28"/>
          <w:szCs w:val="28"/>
          <w:shd w:val="clear" w:fill="FFFFFF"/>
        </w:rPr>
        <w:t>为毕业生宣传西部志愿者、农村特岗教师等国家鼓励大学生面向基层就业的相关政策。树立面向基层就业的典型，积极引导毕业生到西部地区、到民族地区、到基层等祖国最需要的地方去建功立业。20</w:t>
      </w:r>
      <w:r>
        <w:rPr>
          <w:rFonts w:hint="eastAsia" w:ascii="宋体" w:hAnsi="宋体" w:eastAsia="宋体" w:cs="宋体"/>
          <w:color w:val="auto"/>
          <w:kern w:val="0"/>
          <w:sz w:val="28"/>
          <w:szCs w:val="28"/>
          <w:shd w:val="clear" w:fill="FFFFFF"/>
          <w:lang w:val="en-US" w:eastAsia="zh-CN"/>
        </w:rPr>
        <w:t>22</w:t>
      </w:r>
      <w:r>
        <w:rPr>
          <w:rFonts w:hint="eastAsia" w:ascii="宋体" w:hAnsi="宋体" w:eastAsia="宋体" w:cs="宋体"/>
          <w:color w:val="auto"/>
          <w:kern w:val="0"/>
          <w:sz w:val="28"/>
          <w:szCs w:val="28"/>
          <w:shd w:val="clear" w:fill="FFFFFF"/>
        </w:rPr>
        <w:t>年，我院毕业生积极参与了大学生志愿服务西部计划项目。大力支持毕业生</w:t>
      </w:r>
      <w:r>
        <w:rPr>
          <w:rFonts w:hint="eastAsia" w:ascii="宋体" w:hAnsi="宋体" w:eastAsia="宋体" w:cs="宋体"/>
          <w:bCs/>
          <w:color w:val="auto"/>
          <w:sz w:val="28"/>
          <w:szCs w:val="28"/>
        </w:rPr>
        <w:t>考研，学院</w:t>
      </w:r>
      <w:r>
        <w:rPr>
          <w:rFonts w:hint="eastAsia" w:ascii="宋体" w:hAnsi="宋体" w:eastAsia="宋体" w:cs="宋体"/>
          <w:color w:val="auto"/>
          <w:kern w:val="0"/>
          <w:sz w:val="28"/>
          <w:szCs w:val="28"/>
          <w:shd w:val="clear" w:fill="FFFFFF"/>
        </w:rPr>
        <w:t>组建了由我院的博士、教授、副教授任指导老师的毕业生考研辅导小组，2</w:t>
      </w:r>
      <w:r>
        <w:rPr>
          <w:rFonts w:hint="eastAsia" w:ascii="宋体" w:hAnsi="宋体" w:eastAsia="宋体" w:cs="宋体"/>
          <w:color w:val="auto"/>
          <w:kern w:val="0"/>
          <w:sz w:val="28"/>
          <w:szCs w:val="28"/>
          <w:shd w:val="clear" w:fill="FFFFFF"/>
          <w:lang w:val="en-US" w:eastAsia="zh-CN"/>
        </w:rPr>
        <w:t>022</w:t>
      </w:r>
      <w:r>
        <w:rPr>
          <w:rFonts w:hint="eastAsia" w:ascii="宋体" w:hAnsi="宋体" w:eastAsia="宋体" w:cs="宋体"/>
          <w:color w:val="auto"/>
          <w:kern w:val="0"/>
          <w:sz w:val="28"/>
          <w:szCs w:val="28"/>
          <w:shd w:val="clear" w:fill="FFFFFF"/>
        </w:rPr>
        <w:t>届毕业生考研率为</w:t>
      </w:r>
      <w:r>
        <w:rPr>
          <w:rFonts w:hint="eastAsia" w:ascii="宋体" w:hAnsi="宋体" w:eastAsia="宋体" w:cs="宋体"/>
          <w:color w:val="auto"/>
          <w:kern w:val="0"/>
          <w:sz w:val="28"/>
          <w:szCs w:val="28"/>
          <w:shd w:val="clear" w:fill="FFFFFF"/>
          <w:lang w:val="en-US" w:eastAsia="zh-CN"/>
        </w:rPr>
        <w:t>13.89%</w:t>
      </w:r>
      <w:r>
        <w:rPr>
          <w:rFonts w:hint="eastAsia" w:ascii="宋体" w:hAnsi="宋体" w:eastAsia="宋体" w:cs="宋体"/>
          <w:sz w:val="28"/>
          <w:szCs w:val="28"/>
          <w:lang w:val="en-US" w:eastAsia="zh-CN"/>
        </w:rPr>
        <w:t>，较上一年相比上升了2.22%，升学率历年均保持在10%以上。</w:t>
      </w:r>
    </w:p>
    <w:p>
      <w:pPr>
        <w:keepNext w:val="0"/>
        <w:keepLines w:val="0"/>
        <w:pageBreakBefore w:val="0"/>
        <w:widowControl/>
        <w:numPr>
          <w:ilvl w:val="0"/>
          <w:numId w:val="0"/>
        </w:numPr>
        <w:overflowPunct w:val="0"/>
        <w:bidi w:val="0"/>
        <w:snapToGrid/>
        <w:ind w:left="0" w:right="0" w:firstLine="562" w:firstLineChars="200"/>
        <w:jc w:val="both"/>
        <w:textAlignment w:val="auto"/>
        <w:outlineLvl w:val="1"/>
        <w:rPr>
          <w:rFonts w:hint="eastAsia" w:ascii="宋体" w:hAnsi="宋体" w:eastAsia="宋体" w:cs="宋体"/>
          <w:b/>
          <w:color w:val="auto"/>
          <w:sz w:val="28"/>
          <w:szCs w:val="28"/>
          <w:lang w:eastAsia="zh-CN"/>
        </w:rPr>
      </w:pPr>
      <w:bookmarkStart w:id="59" w:name="_GoBack1"/>
      <w:bookmarkEnd w:id="59"/>
      <w:r>
        <w:rPr>
          <w:rFonts w:hint="eastAsia" w:ascii="宋体" w:hAnsi="宋体" w:eastAsia="宋体" w:cs="宋体"/>
          <w:b/>
          <w:color w:val="auto"/>
          <w:sz w:val="28"/>
          <w:szCs w:val="28"/>
          <w:lang w:val="en-US" w:eastAsia="zh-CN"/>
        </w:rPr>
        <w:t xml:space="preserve">（七）实施学生就业状况动态监测 </w:t>
      </w:r>
    </w:p>
    <w:p>
      <w:pPr>
        <w:widowControl/>
        <w:ind w:left="0" w:right="0" w:firstLine="560"/>
        <w:jc w:val="both"/>
        <w:rPr>
          <w:rFonts w:hint="eastAsia" w:ascii="宋体" w:hAnsi="宋体" w:eastAsia="宋体" w:cs="宋体"/>
          <w:color w:val="auto"/>
          <w:kern w:val="0"/>
          <w:sz w:val="28"/>
          <w:szCs w:val="28"/>
          <w:shd w:val="clear" w:fill="FFFFFF"/>
          <w:lang w:val="en-US" w:eastAsia="zh-CN"/>
        </w:rPr>
      </w:pPr>
      <w:r>
        <w:rPr>
          <w:rFonts w:hint="eastAsia" w:ascii="宋体" w:hAnsi="宋体" w:eastAsia="宋体" w:cs="宋体"/>
          <w:color w:val="auto"/>
          <w:kern w:val="0"/>
          <w:sz w:val="28"/>
          <w:szCs w:val="28"/>
          <w:shd w:val="clear" w:fill="FFFFFF"/>
          <w:lang w:val="en-US" w:eastAsia="zh-CN"/>
        </w:rPr>
        <w:t xml:space="preserve">为了切实有效地提升 2022届毕业生的就业率和就业质量，每周及时开展毕业生摸底工作，了解毕业生就业情况，及时跟踪和辅导，同时全面掌握“建档立卡”学生就业意向以及求职、签约等基本信息和就业状态，建立动态台账，主动跟进，及时统计就业信息。对毕业生就业落实情况和毕业生参与招聘活动情况等开展实时核查，对于学生所学专业和单位行业匹配性差异较大等情况，逐一通过电话核实就业信息，确保“稳就业”。 </w:t>
      </w:r>
    </w:p>
    <w:p>
      <w:pPr>
        <w:widowControl/>
        <w:ind w:left="0" w:right="0" w:firstLine="560"/>
        <w:jc w:val="right"/>
        <w:rPr>
          <w:rFonts w:hint="eastAsia" w:ascii="宋体" w:hAnsi="宋体" w:eastAsia="宋体" w:cs="宋体"/>
          <w:color w:val="auto"/>
          <w:kern w:val="0"/>
          <w:sz w:val="28"/>
          <w:szCs w:val="28"/>
          <w:shd w:val="clear" w:fill="FFFFFF"/>
          <w:lang w:val="en-US" w:eastAsia="zh-CN"/>
        </w:rPr>
      </w:pPr>
    </w:p>
    <w:p>
      <w:pPr>
        <w:widowControl/>
        <w:ind w:left="0" w:right="0" w:firstLine="560"/>
        <w:jc w:val="right"/>
        <w:rPr>
          <w:rFonts w:hint="eastAsia" w:ascii="宋体" w:hAnsi="宋体" w:eastAsia="宋体" w:cs="宋体"/>
          <w:color w:val="auto"/>
          <w:kern w:val="0"/>
          <w:sz w:val="28"/>
          <w:szCs w:val="28"/>
          <w:shd w:val="clear" w:fill="FFFFFF"/>
          <w:lang w:val="en-US" w:eastAsia="zh-CN"/>
        </w:rPr>
      </w:pPr>
    </w:p>
    <w:p>
      <w:pPr>
        <w:widowControl/>
        <w:ind w:left="0" w:right="0" w:firstLine="560"/>
        <w:jc w:val="center"/>
        <w:rPr>
          <w:rFonts w:hint="eastAsia" w:ascii="宋体" w:hAnsi="宋体" w:eastAsia="宋体" w:cs="宋体"/>
          <w:color w:val="auto"/>
          <w:kern w:val="0"/>
          <w:sz w:val="28"/>
          <w:szCs w:val="28"/>
          <w:shd w:val="clear" w:fill="FFFFFF"/>
          <w:lang w:val="en-US" w:eastAsia="zh-CN"/>
        </w:rPr>
      </w:pPr>
      <w:r>
        <w:rPr>
          <w:rFonts w:hint="eastAsia" w:ascii="宋体" w:hAnsi="宋体" w:eastAsia="宋体" w:cs="宋体"/>
          <w:color w:val="auto"/>
          <w:kern w:val="0"/>
          <w:sz w:val="28"/>
          <w:szCs w:val="28"/>
          <w:shd w:val="clear" w:fill="FFFFFF"/>
          <w:lang w:val="en-US" w:eastAsia="zh-CN"/>
        </w:rPr>
        <w:t xml:space="preserve">                             通信与电子工程学院</w:t>
      </w:r>
    </w:p>
    <w:p>
      <w:pPr>
        <w:widowControl/>
        <w:ind w:right="0" w:firstLine="5320" w:firstLineChars="1900"/>
        <w:jc w:val="both"/>
        <w:rPr>
          <w:rFonts w:hint="eastAsia" w:ascii="宋体" w:hAnsi="宋体" w:eastAsia="宋体" w:cs="宋体"/>
          <w:sz w:val="28"/>
          <w:szCs w:val="28"/>
        </w:rPr>
      </w:pPr>
      <w:bookmarkStart w:id="60" w:name="_GoBack"/>
      <w:bookmarkEnd w:id="60"/>
      <w:r>
        <w:rPr>
          <w:rFonts w:hint="eastAsia" w:ascii="宋体" w:hAnsi="宋体" w:eastAsia="宋体" w:cs="宋体"/>
          <w:color w:val="auto"/>
          <w:kern w:val="0"/>
          <w:sz w:val="28"/>
          <w:szCs w:val="28"/>
          <w:shd w:val="clear" w:fill="FFFFFF"/>
          <w:lang w:val="en-US" w:eastAsia="zh-CN"/>
        </w:rPr>
        <w:t>2022年12月25日</w:t>
      </w:r>
      <w:r>
        <w:rPr>
          <w:rFonts w:hint="eastAsia" w:ascii="宋体" w:hAnsi="宋体" w:eastAsia="宋体" w:cs="宋体"/>
          <w:bCs/>
          <w:sz w:val="28"/>
          <w:szCs w:val="28"/>
          <w:lang w:val="en-US"/>
        </w:rPr>
        <w:t xml:space="preserve"> </w:t>
      </w:r>
    </w:p>
    <w:p>
      <w:pPr>
        <w:widowControl/>
        <w:jc w:val="left"/>
        <w:rPr>
          <w:rFonts w:hint="eastAsia" w:ascii="宋体" w:hAnsi="宋体" w:eastAsia="宋体" w:cs="宋体"/>
          <w:bCs/>
          <w:sz w:val="28"/>
          <w:szCs w:val="28"/>
        </w:rPr>
      </w:pPr>
    </w:p>
    <w:p>
      <w:pPr>
        <w:rPr>
          <w:rFonts w:hint="eastAsia" w:ascii="宋体" w:hAnsi="宋体" w:eastAsia="宋体" w:cs="宋体"/>
          <w:color w:val="000000"/>
          <w:kern w:val="0"/>
          <w:sz w:val="32"/>
          <w:szCs w:val="32"/>
          <w:highlight w:val="white"/>
        </w:rPr>
      </w:pPr>
    </w:p>
    <w:p>
      <w:pPr>
        <w:widowControl/>
        <w:ind w:left="0" w:right="0" w:firstLine="560"/>
        <w:jc w:val="left"/>
        <w:rPr>
          <w:rFonts w:hint="eastAsia" w:ascii="宋体" w:hAnsi="宋体" w:eastAsia="宋体" w:cs="宋体"/>
        </w:rPr>
      </w:pPr>
      <w:r>
        <w:rPr>
          <w:rFonts w:hint="eastAsia" w:ascii="宋体" w:hAnsi="宋体" w:eastAsia="宋体" w:cs="宋体"/>
          <w:bCs/>
          <w:sz w:val="28"/>
          <w:szCs w:val="28"/>
          <w:lang w:val="en-US"/>
        </w:rPr>
        <w:t xml:space="preserve">         </w:t>
      </w:r>
    </w:p>
    <w:sectPr>
      <w:pgSz w:w="11906" w:h="16838"/>
      <w:pgMar w:top="1440" w:right="1800" w:bottom="1440" w:left="1800" w:header="0" w:footer="992" w:gutter="0"/>
      <w:pgNumType w:fmt="decimal"/>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iberation Sans">
    <w:altName w:val="宋体"/>
    <w:panose1 w:val="00000000000000000000"/>
    <w:charset w:val="86"/>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86"/>
    <w:family w:val="roman"/>
    <w:pitch w:val="default"/>
    <w:sig w:usb0="E4002EFF" w:usb1="C200247B" w:usb2="00000009" w:usb3="00000000" w:csb0="200001FF" w:csb1="00000000"/>
  </w:font>
  <w:font w:name="仿宋_GB2312">
    <w:altName w:val="仿宋"/>
    <w:panose1 w:val="00000000000000000000"/>
    <w:charset w:val="86"/>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1"/>
    <w:family w:val="auto"/>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RlYzY3MDQ2MWY3OTZhOWI5OWE0NTdjN2U0ZDk5YzEifQ=="/>
  </w:docVars>
  <w:rsids>
    <w:rsidRoot w:val="00172A27"/>
    <w:rsid w:val="00050981"/>
    <w:rsid w:val="021505BE"/>
    <w:rsid w:val="02556D1F"/>
    <w:rsid w:val="029D176A"/>
    <w:rsid w:val="02A47CF8"/>
    <w:rsid w:val="03433EF1"/>
    <w:rsid w:val="036F41A9"/>
    <w:rsid w:val="040127C5"/>
    <w:rsid w:val="04200FBD"/>
    <w:rsid w:val="045F303F"/>
    <w:rsid w:val="049F5493"/>
    <w:rsid w:val="04B2316F"/>
    <w:rsid w:val="05131FEA"/>
    <w:rsid w:val="05D90BCF"/>
    <w:rsid w:val="06B13EFD"/>
    <w:rsid w:val="06D842B9"/>
    <w:rsid w:val="07635C4A"/>
    <w:rsid w:val="07893AB6"/>
    <w:rsid w:val="07CE10A2"/>
    <w:rsid w:val="08193505"/>
    <w:rsid w:val="082223BA"/>
    <w:rsid w:val="084C0665"/>
    <w:rsid w:val="0865499C"/>
    <w:rsid w:val="0883755D"/>
    <w:rsid w:val="08931F10"/>
    <w:rsid w:val="08A52FEB"/>
    <w:rsid w:val="09C81827"/>
    <w:rsid w:val="09D60752"/>
    <w:rsid w:val="0A6023B7"/>
    <w:rsid w:val="0AA70601"/>
    <w:rsid w:val="0B3A2BFE"/>
    <w:rsid w:val="0BA672CA"/>
    <w:rsid w:val="0C252019"/>
    <w:rsid w:val="0C3D1E1D"/>
    <w:rsid w:val="0C61303B"/>
    <w:rsid w:val="0C9D2956"/>
    <w:rsid w:val="0CA210C3"/>
    <w:rsid w:val="0CE27BBE"/>
    <w:rsid w:val="0D3F7E0C"/>
    <w:rsid w:val="0E100F06"/>
    <w:rsid w:val="0EF37994"/>
    <w:rsid w:val="0F501F02"/>
    <w:rsid w:val="0F70742C"/>
    <w:rsid w:val="0FF97F53"/>
    <w:rsid w:val="100E4127"/>
    <w:rsid w:val="1021375A"/>
    <w:rsid w:val="10313043"/>
    <w:rsid w:val="10846AB0"/>
    <w:rsid w:val="10EC4D68"/>
    <w:rsid w:val="10ED34FB"/>
    <w:rsid w:val="11352259"/>
    <w:rsid w:val="113E5D8A"/>
    <w:rsid w:val="12352BEA"/>
    <w:rsid w:val="126D50D3"/>
    <w:rsid w:val="127B0E41"/>
    <w:rsid w:val="12971CE2"/>
    <w:rsid w:val="12CC61D2"/>
    <w:rsid w:val="137C729B"/>
    <w:rsid w:val="139E0B43"/>
    <w:rsid w:val="144049CE"/>
    <w:rsid w:val="149F2C0E"/>
    <w:rsid w:val="150E6ADF"/>
    <w:rsid w:val="15170AC0"/>
    <w:rsid w:val="1543632C"/>
    <w:rsid w:val="15973035"/>
    <w:rsid w:val="15DB42CA"/>
    <w:rsid w:val="15FD78D0"/>
    <w:rsid w:val="16873B74"/>
    <w:rsid w:val="16CB4E96"/>
    <w:rsid w:val="1758459D"/>
    <w:rsid w:val="175C3D03"/>
    <w:rsid w:val="17CD1C16"/>
    <w:rsid w:val="17F673BF"/>
    <w:rsid w:val="189F0C29"/>
    <w:rsid w:val="18DC08AD"/>
    <w:rsid w:val="19ED7344"/>
    <w:rsid w:val="1A80782C"/>
    <w:rsid w:val="1ADF413A"/>
    <w:rsid w:val="1B016579"/>
    <w:rsid w:val="1B201D28"/>
    <w:rsid w:val="1B8A3563"/>
    <w:rsid w:val="1BBC0449"/>
    <w:rsid w:val="1BEC71EB"/>
    <w:rsid w:val="1C273CAC"/>
    <w:rsid w:val="1C782F6F"/>
    <w:rsid w:val="1DA00E14"/>
    <w:rsid w:val="1E2C58E8"/>
    <w:rsid w:val="1E3A5B85"/>
    <w:rsid w:val="1E552830"/>
    <w:rsid w:val="1E6F32AF"/>
    <w:rsid w:val="1E86603F"/>
    <w:rsid w:val="1E935967"/>
    <w:rsid w:val="1EB725B9"/>
    <w:rsid w:val="1F5F584A"/>
    <w:rsid w:val="1F816F52"/>
    <w:rsid w:val="20811C64"/>
    <w:rsid w:val="20DB53A4"/>
    <w:rsid w:val="211B2738"/>
    <w:rsid w:val="21733265"/>
    <w:rsid w:val="22B0433D"/>
    <w:rsid w:val="22BB64D4"/>
    <w:rsid w:val="244C6AA9"/>
    <w:rsid w:val="24E26372"/>
    <w:rsid w:val="251E17FA"/>
    <w:rsid w:val="25850E6A"/>
    <w:rsid w:val="259049AF"/>
    <w:rsid w:val="26B975BF"/>
    <w:rsid w:val="27CF1A54"/>
    <w:rsid w:val="27FD2BC9"/>
    <w:rsid w:val="288558D1"/>
    <w:rsid w:val="28A658BA"/>
    <w:rsid w:val="29246357"/>
    <w:rsid w:val="295C09D1"/>
    <w:rsid w:val="2A37043A"/>
    <w:rsid w:val="2AA35184"/>
    <w:rsid w:val="2AE97BF7"/>
    <w:rsid w:val="2AF732E5"/>
    <w:rsid w:val="2BE76AB8"/>
    <w:rsid w:val="2BED7A86"/>
    <w:rsid w:val="2C8F0BD7"/>
    <w:rsid w:val="2D1103C5"/>
    <w:rsid w:val="2D397E72"/>
    <w:rsid w:val="2DC72F38"/>
    <w:rsid w:val="2DE26B03"/>
    <w:rsid w:val="2DF857E7"/>
    <w:rsid w:val="2E53757D"/>
    <w:rsid w:val="2FB76FDC"/>
    <w:rsid w:val="308A5127"/>
    <w:rsid w:val="31B41A25"/>
    <w:rsid w:val="32506BE6"/>
    <w:rsid w:val="34374308"/>
    <w:rsid w:val="34DA11FD"/>
    <w:rsid w:val="35995A28"/>
    <w:rsid w:val="36454A9E"/>
    <w:rsid w:val="37783E0C"/>
    <w:rsid w:val="385B5040"/>
    <w:rsid w:val="38ED3A6E"/>
    <w:rsid w:val="399A3BF6"/>
    <w:rsid w:val="3AF30024"/>
    <w:rsid w:val="3B1E4FC2"/>
    <w:rsid w:val="3B245E6D"/>
    <w:rsid w:val="3BA83AD5"/>
    <w:rsid w:val="3BF2249B"/>
    <w:rsid w:val="3C0E1364"/>
    <w:rsid w:val="3C111ED3"/>
    <w:rsid w:val="3C140697"/>
    <w:rsid w:val="3C586260"/>
    <w:rsid w:val="3CD57376"/>
    <w:rsid w:val="3CEE733C"/>
    <w:rsid w:val="3D765B08"/>
    <w:rsid w:val="3D994559"/>
    <w:rsid w:val="3DB62E68"/>
    <w:rsid w:val="3DB852AC"/>
    <w:rsid w:val="3E2D30C1"/>
    <w:rsid w:val="3E3D2DA2"/>
    <w:rsid w:val="3E9C0F24"/>
    <w:rsid w:val="3EDC3E32"/>
    <w:rsid w:val="3FA2397B"/>
    <w:rsid w:val="3FA86162"/>
    <w:rsid w:val="402406BD"/>
    <w:rsid w:val="404B1282"/>
    <w:rsid w:val="407B3AD1"/>
    <w:rsid w:val="40B20F6A"/>
    <w:rsid w:val="40E14CA7"/>
    <w:rsid w:val="410D1152"/>
    <w:rsid w:val="41E21227"/>
    <w:rsid w:val="42BD4CE4"/>
    <w:rsid w:val="431539B0"/>
    <w:rsid w:val="43826324"/>
    <w:rsid w:val="438549D1"/>
    <w:rsid w:val="438B0257"/>
    <w:rsid w:val="43F26EEE"/>
    <w:rsid w:val="448F6167"/>
    <w:rsid w:val="44C43449"/>
    <w:rsid w:val="44F706EC"/>
    <w:rsid w:val="464F7B16"/>
    <w:rsid w:val="467E5492"/>
    <w:rsid w:val="46CE4B5B"/>
    <w:rsid w:val="474469CA"/>
    <w:rsid w:val="47696C0B"/>
    <w:rsid w:val="47AF2F63"/>
    <w:rsid w:val="47C35DC9"/>
    <w:rsid w:val="47FC45EB"/>
    <w:rsid w:val="47FD18FC"/>
    <w:rsid w:val="488C5196"/>
    <w:rsid w:val="49E90643"/>
    <w:rsid w:val="49ED6F18"/>
    <w:rsid w:val="4A2D21A3"/>
    <w:rsid w:val="4A400A74"/>
    <w:rsid w:val="4A9C36AB"/>
    <w:rsid w:val="4AC9433B"/>
    <w:rsid w:val="4B870ABA"/>
    <w:rsid w:val="4CD15595"/>
    <w:rsid w:val="4E0F00F0"/>
    <w:rsid w:val="4E604FB7"/>
    <w:rsid w:val="4EBF66D1"/>
    <w:rsid w:val="510F0FE0"/>
    <w:rsid w:val="51327557"/>
    <w:rsid w:val="514F4E6E"/>
    <w:rsid w:val="516C2E03"/>
    <w:rsid w:val="51777A5B"/>
    <w:rsid w:val="52622141"/>
    <w:rsid w:val="52B4767F"/>
    <w:rsid w:val="531445C2"/>
    <w:rsid w:val="532F49BD"/>
    <w:rsid w:val="538B1194"/>
    <w:rsid w:val="53D821B3"/>
    <w:rsid w:val="53FF7586"/>
    <w:rsid w:val="55524F2D"/>
    <w:rsid w:val="55542EC9"/>
    <w:rsid w:val="558F3C58"/>
    <w:rsid w:val="562C71E6"/>
    <w:rsid w:val="56505911"/>
    <w:rsid w:val="567C0C5D"/>
    <w:rsid w:val="568F3DB9"/>
    <w:rsid w:val="56A43157"/>
    <w:rsid w:val="57AF2EE7"/>
    <w:rsid w:val="57B1418D"/>
    <w:rsid w:val="584A5FD6"/>
    <w:rsid w:val="584D2A0D"/>
    <w:rsid w:val="58E20C6D"/>
    <w:rsid w:val="59142D43"/>
    <w:rsid w:val="59594ADC"/>
    <w:rsid w:val="596D67DA"/>
    <w:rsid w:val="597138CA"/>
    <w:rsid w:val="597C1114"/>
    <w:rsid w:val="5A0D40D3"/>
    <w:rsid w:val="5B207AC0"/>
    <w:rsid w:val="5B5F5CB2"/>
    <w:rsid w:val="5C406255"/>
    <w:rsid w:val="5CAC586B"/>
    <w:rsid w:val="5D0F6B92"/>
    <w:rsid w:val="5D170A43"/>
    <w:rsid w:val="5D783DFA"/>
    <w:rsid w:val="5D870FD6"/>
    <w:rsid w:val="5E2241B4"/>
    <w:rsid w:val="5E2F405E"/>
    <w:rsid w:val="5E490CC8"/>
    <w:rsid w:val="5E5E7F75"/>
    <w:rsid w:val="5EA73BA1"/>
    <w:rsid w:val="5F820513"/>
    <w:rsid w:val="5F9342A8"/>
    <w:rsid w:val="6035017D"/>
    <w:rsid w:val="6035632A"/>
    <w:rsid w:val="60795AB2"/>
    <w:rsid w:val="60B63DC2"/>
    <w:rsid w:val="60E159AF"/>
    <w:rsid w:val="61247BC4"/>
    <w:rsid w:val="612D6600"/>
    <w:rsid w:val="61327BE3"/>
    <w:rsid w:val="61EA4018"/>
    <w:rsid w:val="628913BD"/>
    <w:rsid w:val="62BB0761"/>
    <w:rsid w:val="62C84A81"/>
    <w:rsid w:val="635E0E5B"/>
    <w:rsid w:val="63E70E01"/>
    <w:rsid w:val="63EE6769"/>
    <w:rsid w:val="65AC398B"/>
    <w:rsid w:val="65C87050"/>
    <w:rsid w:val="667016B7"/>
    <w:rsid w:val="66BD7C37"/>
    <w:rsid w:val="67446CA1"/>
    <w:rsid w:val="675D60DF"/>
    <w:rsid w:val="67B024C5"/>
    <w:rsid w:val="67BA3FBC"/>
    <w:rsid w:val="67C076E2"/>
    <w:rsid w:val="68067A1F"/>
    <w:rsid w:val="684706A4"/>
    <w:rsid w:val="68B85C1F"/>
    <w:rsid w:val="69021D06"/>
    <w:rsid w:val="690A4C74"/>
    <w:rsid w:val="6978047C"/>
    <w:rsid w:val="697F4DD4"/>
    <w:rsid w:val="69831C42"/>
    <w:rsid w:val="69A96000"/>
    <w:rsid w:val="69D81C91"/>
    <w:rsid w:val="69F15888"/>
    <w:rsid w:val="6A64322D"/>
    <w:rsid w:val="6B457A50"/>
    <w:rsid w:val="6B4A34C9"/>
    <w:rsid w:val="6BD022D8"/>
    <w:rsid w:val="6C040926"/>
    <w:rsid w:val="6D8A1F98"/>
    <w:rsid w:val="6E356C29"/>
    <w:rsid w:val="6F6873CF"/>
    <w:rsid w:val="6FD33CC2"/>
    <w:rsid w:val="70552A5D"/>
    <w:rsid w:val="70B05878"/>
    <w:rsid w:val="70B91AC4"/>
    <w:rsid w:val="70D97BA2"/>
    <w:rsid w:val="711C2874"/>
    <w:rsid w:val="71793B16"/>
    <w:rsid w:val="71DC5E53"/>
    <w:rsid w:val="71FD350D"/>
    <w:rsid w:val="72113805"/>
    <w:rsid w:val="72567A35"/>
    <w:rsid w:val="72E937AF"/>
    <w:rsid w:val="737C78ED"/>
    <w:rsid w:val="749E0FF7"/>
    <w:rsid w:val="755C6186"/>
    <w:rsid w:val="762B7CD5"/>
    <w:rsid w:val="76345989"/>
    <w:rsid w:val="76504CBE"/>
    <w:rsid w:val="76E52316"/>
    <w:rsid w:val="76FC272E"/>
    <w:rsid w:val="779C6DC2"/>
    <w:rsid w:val="77A43ECA"/>
    <w:rsid w:val="7812542A"/>
    <w:rsid w:val="786B0EC4"/>
    <w:rsid w:val="78985AA5"/>
    <w:rsid w:val="78BA52C8"/>
    <w:rsid w:val="793F527F"/>
    <w:rsid w:val="7963752C"/>
    <w:rsid w:val="7A2E6BAF"/>
    <w:rsid w:val="7AD41DBD"/>
    <w:rsid w:val="7ADF3D70"/>
    <w:rsid w:val="7B3B7030"/>
    <w:rsid w:val="7B593A04"/>
    <w:rsid w:val="7B6E442B"/>
    <w:rsid w:val="7BA4768F"/>
    <w:rsid w:val="7BB06386"/>
    <w:rsid w:val="7C320548"/>
    <w:rsid w:val="7C335B9A"/>
    <w:rsid w:val="7C441EAA"/>
    <w:rsid w:val="7D266C3C"/>
    <w:rsid w:val="7EA9560A"/>
    <w:rsid w:val="7F2F31F4"/>
    <w:rsid w:val="7F4830A7"/>
    <w:rsid w:val="7F511C2E"/>
    <w:rsid w:val="7F5633DC"/>
    <w:rsid w:val="7F647FD1"/>
    <w:rsid w:val="7F9F3680"/>
    <w:rsid w:val="7FE037A1"/>
    <w:rsid w:val="7FFD0BAD"/>
    <w:rsid w:val="7FFE430E"/>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bidi w:val="0"/>
      <w:ind w:left="0" w:right="0" w:firstLine="0"/>
      <w:jc w:val="both"/>
    </w:pPr>
    <w:rPr>
      <w:rFonts w:asciiTheme="minorHAnsi" w:hAnsiTheme="minorHAnsi" w:eastAsiaTheme="minorEastAsia" w:cstheme="minorBidi"/>
      <w:color w:val="auto"/>
      <w:kern w:val="2"/>
      <w:sz w:val="21"/>
      <w:szCs w:val="24"/>
      <w:lang w:val="en-US" w:eastAsia="zh-CN" w:bidi="ar-SA"/>
    </w:rPr>
  </w:style>
  <w:style w:type="paragraph" w:styleId="2">
    <w:name w:val="heading 1"/>
    <w:basedOn w:val="1"/>
    <w:next w:val="1"/>
    <w:qFormat/>
    <w:uiPriority w:val="0"/>
    <w:pPr>
      <w:keepNext/>
      <w:keepLines/>
      <w:outlineLvl w:val="0"/>
    </w:pPr>
    <w:rPr>
      <w:b/>
      <w:kern w:val="2"/>
      <w:sz w:val="32"/>
    </w:rPr>
  </w:style>
  <w:style w:type="paragraph" w:styleId="3">
    <w:name w:val="heading 2"/>
    <w:basedOn w:val="1"/>
    <w:next w:val="1"/>
    <w:unhideWhenUsed/>
    <w:qFormat/>
    <w:uiPriority w:val="0"/>
    <w:pPr>
      <w:keepNext/>
      <w:keepLines/>
      <w:spacing w:before="260" w:after="260" w:line="408" w:lineRule="auto"/>
      <w:outlineLvl w:val="1"/>
    </w:pPr>
    <w:rPr>
      <w:rFonts w:ascii="Arial" w:hAnsi="Arial"/>
      <w:b/>
      <w:sz w:val="30"/>
    </w:rPr>
  </w:style>
  <w:style w:type="paragraph" w:styleId="4">
    <w:name w:val="heading 3"/>
    <w:basedOn w:val="1"/>
    <w:next w:val="1"/>
    <w:unhideWhenUsed/>
    <w:qFormat/>
    <w:uiPriority w:val="0"/>
    <w:pPr>
      <w:keepNext/>
      <w:keepLines/>
      <w:spacing w:before="260" w:after="260" w:line="408" w:lineRule="auto"/>
      <w:outlineLvl w:val="2"/>
    </w:pPr>
    <w:rPr>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suppressLineNumbers/>
      <w:spacing w:before="120" w:after="120"/>
    </w:pPr>
    <w:rPr>
      <w:rFonts w:cs="Arial"/>
      <w:i/>
      <w:iCs/>
      <w:sz w:val="24"/>
      <w:szCs w:val="24"/>
    </w:rPr>
  </w:style>
  <w:style w:type="paragraph" w:styleId="6">
    <w:name w:val="Body Text"/>
    <w:basedOn w:val="1"/>
    <w:qFormat/>
    <w:uiPriority w:val="0"/>
    <w:pPr>
      <w:spacing w:before="0" w:after="140" w:line="276" w:lineRule="auto"/>
    </w:pPr>
  </w:style>
  <w:style w:type="paragraph" w:styleId="7">
    <w:name w:val="toc 3"/>
    <w:basedOn w:val="1"/>
    <w:next w:val="1"/>
    <w:qFormat/>
    <w:uiPriority w:val="39"/>
    <w:pPr>
      <w:ind w:left="840" w:right="0" w:firstLine="0"/>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List"/>
    <w:basedOn w:val="6"/>
    <w:qFormat/>
    <w:uiPriority w:val="0"/>
    <w:rPr>
      <w:rFonts w:cs="Arial"/>
    </w:rPr>
  </w:style>
  <w:style w:type="paragraph" w:styleId="12">
    <w:name w:val="toc 2"/>
    <w:basedOn w:val="1"/>
    <w:next w:val="1"/>
    <w:qFormat/>
    <w:uiPriority w:val="39"/>
    <w:pPr>
      <w:tabs>
        <w:tab w:val="right" w:leader="dot" w:pos="8296"/>
      </w:tabs>
      <w:spacing w:line="300" w:lineRule="auto"/>
      <w:ind w:left="420" w:right="0" w:firstLine="0"/>
    </w:pPr>
  </w:style>
  <w:style w:type="paragraph" w:styleId="13">
    <w:name w:val="Normal (Web)"/>
    <w:basedOn w:val="1"/>
    <w:qFormat/>
    <w:uiPriority w:val="0"/>
    <w:pPr>
      <w:jc w:val="left"/>
    </w:pPr>
    <w:rPr>
      <w:rFonts w:cs="Times New Roman"/>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customStyle="1" w:styleId="18">
    <w:name w:val="Internet 链接"/>
    <w:basedOn w:val="16"/>
    <w:unhideWhenUsed/>
    <w:qFormat/>
    <w:uiPriority w:val="99"/>
    <w:rPr>
      <w:color w:val="0563C1" w:themeColor="hyperlink"/>
      <w:u w:val="single"/>
      <w14:textFill>
        <w14:solidFill>
          <w14:schemeClr w14:val="hlink"/>
        </w14:solidFill>
      </w14:textFill>
    </w:rPr>
  </w:style>
  <w:style w:type="character" w:customStyle="1" w:styleId="19">
    <w:name w:val="页眉 Char"/>
    <w:basedOn w:val="16"/>
    <w:qFormat/>
    <w:uiPriority w:val="0"/>
    <w:rPr>
      <w:rFonts w:asciiTheme="minorHAnsi" w:hAnsiTheme="minorHAnsi" w:eastAsiaTheme="minorEastAsia" w:cstheme="minorBidi"/>
      <w:kern w:val="2"/>
      <w:sz w:val="18"/>
      <w:szCs w:val="18"/>
    </w:rPr>
  </w:style>
  <w:style w:type="character" w:customStyle="1" w:styleId="20">
    <w:name w:val="页脚 Char"/>
    <w:basedOn w:val="16"/>
    <w:qFormat/>
    <w:uiPriority w:val="0"/>
    <w:rPr>
      <w:rFonts w:asciiTheme="minorHAnsi" w:hAnsiTheme="minorHAnsi" w:eastAsiaTheme="minorEastAsia" w:cstheme="minorBidi"/>
      <w:kern w:val="2"/>
      <w:sz w:val="18"/>
      <w:szCs w:val="18"/>
    </w:rPr>
  </w:style>
  <w:style w:type="character" w:customStyle="1" w:styleId="21">
    <w:name w:val="索引链接"/>
    <w:qFormat/>
    <w:uiPriority w:val="0"/>
  </w:style>
  <w:style w:type="paragraph" w:customStyle="1" w:styleId="22">
    <w:name w:val="标题样式"/>
    <w:basedOn w:val="1"/>
    <w:next w:val="6"/>
    <w:qFormat/>
    <w:uiPriority w:val="0"/>
    <w:pPr>
      <w:keepNext/>
      <w:spacing w:before="240" w:after="120"/>
    </w:pPr>
    <w:rPr>
      <w:rFonts w:ascii="Liberation Sans" w:hAnsi="Liberation Sans" w:eastAsia="微软雅黑" w:cs="Arial"/>
      <w:sz w:val="28"/>
      <w:szCs w:val="28"/>
    </w:rPr>
  </w:style>
  <w:style w:type="paragraph" w:customStyle="1" w:styleId="23">
    <w:name w:val="索引"/>
    <w:basedOn w:val="1"/>
    <w:qFormat/>
    <w:uiPriority w:val="0"/>
    <w:pPr>
      <w:suppressLineNumbers/>
    </w:pPr>
    <w:rPr>
      <w:rFonts w:cs="Arial"/>
    </w:rPr>
  </w:style>
  <w:style w:type="paragraph" w:customStyle="1" w:styleId="24">
    <w:name w:val="列出段落11"/>
    <w:basedOn w:val="1"/>
    <w:qFormat/>
    <w:uiPriority w:val="0"/>
    <w:pPr>
      <w:ind w:left="0" w:right="0" w:firstLine="420"/>
    </w:pPr>
    <w:rPr>
      <w:rFonts w:ascii="Calibri" w:hAnsi="Calibri" w:eastAsia="宋体" w:cs="Times New Roman"/>
      <w:szCs w:val="22"/>
    </w:rPr>
  </w:style>
  <w:style w:type="paragraph" w:customStyle="1" w:styleId="25">
    <w:name w:val="_Style 1"/>
    <w:basedOn w:val="1"/>
    <w:qFormat/>
    <w:uiPriority w:val="34"/>
    <w:pPr>
      <w:ind w:left="0" w:right="0" w:firstLine="420"/>
    </w:pPr>
  </w:style>
  <w:style w:type="paragraph" w:customStyle="1" w:styleId="26">
    <w:name w:val="_Style 2"/>
    <w:basedOn w:val="1"/>
    <w:qFormat/>
    <w:uiPriority w:val="34"/>
    <w:pPr>
      <w:ind w:left="0" w:right="0" w:firstLine="420"/>
    </w:pPr>
  </w:style>
  <w:style w:type="paragraph" w:customStyle="1" w:styleId="27">
    <w:name w:val="列出段落1"/>
    <w:basedOn w:val="1"/>
    <w:qFormat/>
    <w:uiPriority w:val="0"/>
    <w:pPr>
      <w:ind w:left="0" w:right="0" w:firstLine="420"/>
    </w:pPr>
    <w:rPr>
      <w:rFonts w:ascii="Calibri" w:hAnsi="Calibri" w:eastAsia="宋体" w:cs="Times New Roman"/>
      <w:szCs w:val="22"/>
    </w:rPr>
  </w:style>
  <w:style w:type="paragraph" w:customStyle="1" w:styleId="28">
    <w:name w:val="WPSOffice手动目录 1"/>
    <w:qFormat/>
    <w:uiPriority w:val="0"/>
    <w:pPr>
      <w:widowControl w:val="0"/>
      <w:bidi w:val="0"/>
      <w:jc w:val="left"/>
    </w:pPr>
    <w:rPr>
      <w:rFonts w:ascii="Times New Roman" w:hAnsi="Times New Roman" w:eastAsia="宋体" w:cs="Times New Roman"/>
      <w:color w:val="auto"/>
      <w:kern w:val="0"/>
      <w:sz w:val="21"/>
      <w:szCs w:val="20"/>
      <w:lang w:val="en-US" w:eastAsia="zh-CN" w:bidi="ar-SA"/>
    </w:rPr>
  </w:style>
  <w:style w:type="paragraph" w:customStyle="1" w:styleId="29">
    <w:name w:val="WPSOffice手动目录 2"/>
    <w:qFormat/>
    <w:uiPriority w:val="0"/>
    <w:pPr>
      <w:widowControl w:val="0"/>
      <w:bidi w:val="0"/>
      <w:ind w:left="200" w:firstLine="0"/>
      <w:jc w:val="left"/>
    </w:pPr>
    <w:rPr>
      <w:rFonts w:ascii="Times New Roman" w:hAnsi="Times New Roman" w:eastAsia="宋体" w:cs="Times New Roman"/>
      <w:color w:val="auto"/>
      <w:kern w:val="0"/>
      <w:sz w:val="21"/>
      <w:szCs w:val="20"/>
      <w:lang w:val="en-US" w:eastAsia="zh-CN" w:bidi="ar-SA"/>
    </w:rPr>
  </w:style>
  <w:style w:type="paragraph" w:customStyle="1" w:styleId="30">
    <w:name w:val="WPSOffice手动目录 3"/>
    <w:qFormat/>
    <w:uiPriority w:val="0"/>
    <w:pPr>
      <w:widowControl w:val="0"/>
      <w:bidi w:val="0"/>
      <w:ind w:left="400" w:firstLine="0"/>
      <w:jc w:val="left"/>
    </w:pPr>
    <w:rPr>
      <w:rFonts w:ascii="Times New Roman" w:hAnsi="Times New Roman" w:eastAsia="宋体" w:cs="Times New Roman"/>
      <w:color w:val="auto"/>
      <w:kern w:val="0"/>
      <w:sz w:val="21"/>
      <w:szCs w:val="20"/>
      <w:lang w:val="en-US" w:eastAsia="zh-CN" w:bidi="ar-SA"/>
    </w:rPr>
  </w:style>
  <w:style w:type="paragraph" w:customStyle="1" w:styleId="31">
    <w:name w:val="TOC Heading"/>
    <w:basedOn w:val="2"/>
    <w:next w:val="1"/>
    <w:unhideWhenUsed/>
    <w:qFormat/>
    <w:uiPriority w:val="39"/>
    <w:pPr>
      <w:widowControl/>
      <w:spacing w:before="240" w:after="0" w:line="259" w:lineRule="auto"/>
      <w:jc w:val="left"/>
    </w:pPr>
    <w:rPr>
      <w:rFonts w:asciiTheme="majorHAnsi" w:hAnsiTheme="majorHAnsi" w:eastAsiaTheme="majorEastAsia" w:cstheme="majorBidi"/>
      <w:b w:val="0"/>
      <w:color w:val="2E75B6" w:themeColor="accent1" w:themeShade="BF"/>
      <w:kern w:val="0"/>
      <w:szCs w:val="32"/>
    </w:rPr>
  </w:style>
  <w:style w:type="paragraph" w:customStyle="1" w:styleId="32">
    <w:name w:val="框架内容"/>
    <w:basedOn w:val="1"/>
    <w:qFormat/>
    <w:uiPriority w:val="0"/>
  </w:style>
  <w:style w:type="paragraph" w:customStyle="1" w:styleId="33">
    <w:name w:val="表格内容"/>
    <w:basedOn w:val="1"/>
    <w:qFormat/>
    <w:uiPriority w:val="0"/>
    <w:pPr>
      <w:suppressLineNumbers/>
    </w:pPr>
  </w:style>
  <w:style w:type="paragraph" w:customStyle="1" w:styleId="34">
    <w:name w:val="表格标题"/>
    <w:basedOn w:val="33"/>
    <w:qFormat/>
    <w:uiPriority w:val="0"/>
    <w:pPr>
      <w:suppressLineNumbers/>
      <w:jc w:val="center"/>
    </w:pPr>
    <w:rPr>
      <w:b/>
      <w:bCs/>
    </w:rPr>
  </w:style>
  <w:style w:type="paragraph" w:customStyle="1" w:styleId="35">
    <w:name w:val="p15"/>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chart" Target="charts/chart9.xml"/><Relationship Id="rId14" Type="http://schemas.openxmlformats.org/officeDocument/2006/relationships/chart" Target="charts/chart8.xml"/><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oleObject" Target=""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8.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9.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60" b="1" i="0" u="none" strike="noStrike" kern="1200" baseline="0">
                <a:solidFill>
                  <a:schemeClr val="dk1">
                    <a:lumMod val="75000"/>
                    <a:lumOff val="25000"/>
                  </a:schemeClr>
                </a:solidFill>
                <a:latin typeface="+mn-lt"/>
                <a:ea typeface="+mn-ea"/>
                <a:cs typeface="+mn-cs"/>
              </a:defRPr>
            </a:pPr>
            <a:r>
              <a:rPr sz="1000" b="0"/>
              <a:t>图1 通信与电子工程学院2022届毕业生性别构成</a:t>
            </a:r>
            <a:endParaRPr sz="1000" b="0"/>
          </a:p>
        </c:rich>
      </c:tx>
      <c:layout/>
      <c:overlay val="0"/>
      <c:spPr>
        <a:noFill/>
        <a:ln>
          <a:noFill/>
        </a:ln>
        <a:effectLst/>
      </c:spPr>
    </c:title>
    <c:autoTitleDeleted val="0"/>
    <c:plotArea>
      <c:layout/>
      <c:pieChart>
        <c:varyColors val="1"/>
        <c:ser>
          <c:idx val="0"/>
          <c:order val="0"/>
          <c:tx>
            <c:strRef>
              <c:f>Sheet1!$B$1</c:f>
              <c:strCache>
                <c:ptCount val="1"/>
                <c:pt idx="0">
                  <c:v>图1 通信与电子工程学院2022届毕业生性别构成</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8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男</c:v>
                </c:pt>
                <c:pt idx="1">
                  <c:v>女</c:v>
                </c:pt>
              </c:strCache>
            </c:strRef>
          </c:cat>
          <c:val>
            <c:numRef>
              <c:f>Sheet1!$B$2:$B$5</c:f>
              <c:numCache>
                <c:formatCode>0%</c:formatCode>
                <c:ptCount val="4"/>
                <c:pt idx="0">
                  <c:v>0.75</c:v>
                </c:pt>
                <c:pt idx="1">
                  <c:v>0.25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800" b="0" i="0" u="none" strike="noStrike" kern="1200" baseline="0">
                <a:solidFill>
                  <a:schemeClr val="dk1">
                    <a:lumMod val="75000"/>
                    <a:lumOff val="25000"/>
                  </a:schemeClr>
                </a:solidFill>
                <a:latin typeface="+mn-lt"/>
                <a:ea typeface="+mn-ea"/>
                <a:cs typeface="+mn-cs"/>
              </a:defRPr>
            </a:pPr>
          </a:p>
        </c:txPr>
      </c:legendEntry>
      <c:legendEntry>
        <c:idx val="1"/>
        <c:txPr>
          <a:bodyPr rot="0" spcFirstLastPara="0" vertOverflow="ellipsis" vert="horz" wrap="square" anchor="ctr" anchorCtr="1"/>
          <a:lstStyle/>
          <a:p>
            <a:pPr>
              <a:defRPr lang="zh-CN" sz="800" b="0" i="0" u="none" strike="noStrike" kern="1200" baseline="0">
                <a:solidFill>
                  <a:schemeClr val="dk1">
                    <a:lumMod val="75000"/>
                    <a:lumOff val="25000"/>
                  </a:schemeClr>
                </a:solidFill>
                <a:latin typeface="+mn-lt"/>
                <a:ea typeface="+mn-ea"/>
                <a:cs typeface="+mn-cs"/>
              </a:defRPr>
            </a:pPr>
          </a:p>
        </c:txPr>
      </c:legendEntry>
      <c:legendEntry>
        <c:idx val="2"/>
        <c:delete val="1"/>
      </c:legendEntry>
      <c:legendEntry>
        <c:idx val="3"/>
        <c:delete val="1"/>
      </c:legendEntry>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8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sz="8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solidFill>
                  <a:schemeClr val="dk1">
                    <a:lumMod val="75000"/>
                    <a:lumOff val="25000"/>
                  </a:schemeClr>
                </a:solidFill>
                <a:latin typeface="+mn-lt"/>
                <a:ea typeface="+mn-ea"/>
                <a:cs typeface="+mn-cs"/>
              </a:defRPr>
            </a:pPr>
            <a:r>
              <a:rPr sz="1000" b="0"/>
              <a:t>图2 通信与电子工程学院2022届毕业生城乡生源</a:t>
            </a:r>
            <a:endParaRPr sz="1000" b="0"/>
          </a:p>
        </c:rich>
      </c:tx>
      <c:layout/>
      <c:overlay val="0"/>
      <c:spPr>
        <a:noFill/>
        <a:ln>
          <a:noFill/>
        </a:ln>
        <a:effectLst/>
      </c:spPr>
    </c:title>
    <c:autoTitleDeleted val="0"/>
    <c:plotArea>
      <c:layout/>
      <c:pieChart>
        <c:varyColors val="1"/>
        <c:ser>
          <c:idx val="0"/>
          <c:order val="0"/>
          <c:tx>
            <c:strRef>
              <c:f>Sheet1!$B$1</c:f>
              <c:strCache>
                <c:ptCount val="1"/>
                <c:pt idx="0">
                  <c:v>图2 通信与电子工程学院2022届毕业生城乡生源</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sz="1000"/>
                      <a:t>3</a:t>
                    </a:r>
                    <a:r>
                      <a:rPr lang="en-US" altLang="zh-CN" sz="1000"/>
                      <a:t>4.72</a:t>
                    </a:r>
                    <a:r>
                      <a:rPr sz="1000"/>
                      <a:t>%</a:t>
                    </a:r>
                    <a:endParaRPr sz="1000"/>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sz="1000"/>
                      <a:t>65</a:t>
                    </a:r>
                    <a:r>
                      <a:rPr lang="en-US" altLang="zh-CN" sz="1000"/>
                      <a:t>.28</a:t>
                    </a:r>
                    <a:r>
                      <a:rPr sz="1000"/>
                      <a:t>%</a:t>
                    </a:r>
                    <a:endParaRPr sz="1000"/>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城镇户口</c:v>
                </c:pt>
                <c:pt idx="1">
                  <c:v>农村户口</c:v>
                </c:pt>
              </c:strCache>
            </c:strRef>
          </c:cat>
          <c:val>
            <c:numRef>
              <c:f>Sheet1!$B$2:$B$5</c:f>
              <c:numCache>
                <c:formatCode>0.00%</c:formatCode>
                <c:ptCount val="4"/>
                <c:pt idx="0">
                  <c:v>0.3472</c:v>
                </c:pt>
                <c:pt idx="1">
                  <c:v>0.6528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chemeClr val="dk1">
                    <a:lumMod val="75000"/>
                    <a:lumOff val="25000"/>
                  </a:scheme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chemeClr val="dk1">
                    <a:lumMod val="75000"/>
                    <a:lumOff val="25000"/>
                  </a:schemeClr>
                </a:solidFill>
                <a:latin typeface="+mn-lt"/>
                <a:ea typeface="+mn-ea"/>
                <a:cs typeface="+mn-cs"/>
              </a:defRPr>
            </a:pPr>
          </a:p>
        </c:txPr>
      </c:legendEntry>
      <c:legendEntry>
        <c:idx val="2"/>
        <c:delete val="1"/>
      </c:legendEntry>
      <c:legendEntry>
        <c:idx val="3"/>
        <c:delete val="1"/>
      </c:legendEntry>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10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sz="10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
          <c:y val="0.0603333333333333"/>
          <c:w val="0.8913125"/>
          <c:h val="0.817111111111111"/>
        </c:manualLayout>
      </c:layout>
      <c:barChart>
        <c:barDir val="col"/>
        <c:grouping val="clustered"/>
        <c:varyColors val="0"/>
        <c:ser>
          <c:idx val="0"/>
          <c:order val="0"/>
          <c:tx>
            <c:strRef>
              <c:f>label 0</c:f>
              <c:strCache>
                <c:ptCount val="1"/>
                <c:pt idx="0">
                  <c:v>人数</c:v>
                </c:pt>
              </c:strCache>
            </c:strRef>
          </c:tx>
          <c:spPr>
            <a:solidFill>
              <a:srgbClr val="5B9BD5"/>
            </a:solidFill>
            <a:ln>
              <a:noFill/>
            </a:ln>
          </c:spPr>
          <c:invertIfNegative val="0"/>
          <c:dPt>
            <c:idx val="0"/>
            <c:invertIfNegative val="0"/>
            <c:bubble3D val="0"/>
            <c:spPr>
              <a:solidFill>
                <a:srgbClr val="5B9BD5"/>
              </a:solidFill>
              <a:ln>
                <a:noFill/>
              </a:ln>
            </c:spPr>
          </c:dPt>
          <c:dPt>
            <c:idx val="1"/>
            <c:invertIfNegative val="0"/>
            <c:bubble3D val="0"/>
            <c:spPr>
              <a:solidFill>
                <a:srgbClr val="5B9BD5"/>
              </a:solidFill>
              <a:ln>
                <a:noFill/>
              </a:ln>
            </c:spPr>
          </c:dPt>
          <c:dPt>
            <c:idx val="2"/>
            <c:invertIfNegative val="0"/>
            <c:bubble3D val="0"/>
            <c:spPr>
              <a:solidFill>
                <a:srgbClr val="5B9BD5"/>
              </a:solidFill>
              <a:ln>
                <a:noFill/>
              </a:ln>
            </c:spPr>
          </c:dPt>
          <c:dPt>
            <c:idx val="3"/>
            <c:invertIfNegative val="0"/>
            <c:bubble3D val="0"/>
            <c:spPr>
              <a:solidFill>
                <a:srgbClr val="5B9BD5"/>
              </a:solidFill>
              <a:ln>
                <a:noFill/>
              </a:ln>
            </c:spPr>
          </c:dPt>
          <c:dPt>
            <c:idx val="4"/>
            <c:invertIfNegative val="0"/>
            <c:bubble3D val="0"/>
            <c:spPr>
              <a:solidFill>
                <a:srgbClr val="5B9BD5"/>
              </a:solidFill>
              <a:ln>
                <a:noFill/>
              </a:ln>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spc="-1" baseline="0">
                    <a:solidFill>
                      <a:srgbClr val="404040"/>
                    </a:solidFill>
                    <a:latin typeface="Calibri" panose="020F0502020204030204"/>
                    <a:ea typeface="+mn-ea"/>
                    <a:cs typeface="+mn-cs"/>
                  </a:defRPr>
                </a:pP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5"/>
                <c:pt idx="0">
                  <c:v>计算机科学与技术</c:v>
                </c:pt>
                <c:pt idx="1">
                  <c:v>电子信息工程</c:v>
                </c:pt>
                <c:pt idx="2">
                  <c:v>通信工程</c:v>
                </c:pt>
                <c:pt idx="3">
                  <c:v>网络工程</c:v>
                </c:pt>
                <c:pt idx="4">
                  <c:v>电气工程及其自动化</c:v>
                </c:pt>
              </c:strCache>
            </c:strRef>
          </c:cat>
          <c:val>
            <c:numRef>
              <c:f>0</c:f>
              <c:numCache>
                <c:formatCode>General</c:formatCode>
                <c:ptCount val="5"/>
                <c:pt idx="0">
                  <c:v>59</c:v>
                </c:pt>
                <c:pt idx="1">
                  <c:v>65</c:v>
                </c:pt>
                <c:pt idx="2">
                  <c:v>80</c:v>
                </c:pt>
                <c:pt idx="3">
                  <c:v>62</c:v>
                </c:pt>
                <c:pt idx="4">
                  <c:v>92</c:v>
                </c:pt>
              </c:numCache>
            </c:numRef>
          </c:val>
        </c:ser>
        <c:dLbls>
          <c:showLegendKey val="0"/>
          <c:showVal val="1"/>
          <c:showCatName val="0"/>
          <c:showSerName val="0"/>
          <c:showPercent val="0"/>
          <c:showBubbleSize val="1"/>
        </c:dLbls>
        <c:gapWidth val="213"/>
        <c:overlap val="-56"/>
        <c:axId val="3507824"/>
        <c:axId val="43490987"/>
      </c:barChart>
      <c:catAx>
        <c:axId val="3507824"/>
        <c:scaling>
          <c:orientation val="minMax"/>
        </c:scaling>
        <c:delete val="0"/>
        <c:axPos val="b"/>
        <c:numFmt formatCode="[$-804]yyyy/m/d" sourceLinked="1"/>
        <c:majorTickMark val="none"/>
        <c:minorTickMark val="none"/>
        <c:tickLblPos val="nextTo"/>
        <c:spPr>
          <a:ln w="9360" cap="flat" cmpd="sng" algn="ctr">
            <a:solidFill>
              <a:srgbClr val="D9D9D9"/>
            </a:solidFill>
            <a:prstDash val="solid"/>
            <a:round/>
          </a:ln>
        </c:spPr>
        <c:txPr>
          <a:bodyPr rot="-60000000" spcFirstLastPara="0" vertOverflow="ellipsis" vert="horz" wrap="square" anchor="ctr" anchorCtr="1"/>
          <a:lstStyle/>
          <a:p>
            <a:pPr>
              <a:defRPr lang="zh-CN" sz="800" b="0" i="0" u="none" strike="noStrike" kern="1200" spc="-1" baseline="0">
                <a:solidFill>
                  <a:srgbClr val="595959"/>
                </a:solidFill>
                <a:latin typeface="Calibri" panose="020F0502020204030204"/>
                <a:ea typeface="+mn-ea"/>
                <a:cs typeface="+mn-cs"/>
              </a:defRPr>
            </a:pPr>
          </a:p>
        </c:txPr>
        <c:crossAx val="43490987"/>
        <c:crosses val="autoZero"/>
        <c:auto val="1"/>
        <c:lblAlgn val="ctr"/>
        <c:lblOffset val="100"/>
        <c:noMultiLvlLbl val="0"/>
      </c:catAx>
      <c:valAx>
        <c:axId val="43490987"/>
        <c:scaling>
          <c:orientation val="minMax"/>
        </c:scaling>
        <c:delete val="0"/>
        <c:axPos val="l"/>
        <c:majorGridlines>
          <c:spPr>
            <a:ln w="9360" cap="flat" cmpd="sng" algn="ctr">
              <a:solidFill>
                <a:srgbClr val="D9D9D9"/>
              </a:solidFill>
              <a:prstDash val="solid"/>
              <a:round/>
            </a:ln>
          </c:spPr>
        </c:majorGridlines>
        <c:numFmt formatCode="General" sourceLinked="0"/>
        <c:majorTickMark val="none"/>
        <c:minorTickMark val="none"/>
        <c:tickLblPos val="nextTo"/>
        <c:spPr>
          <a:ln w="6480" cap="flat" cmpd="sng" algn="ctr">
            <a:noFill/>
            <a:prstDash val="solid"/>
            <a:round/>
          </a:ln>
        </c:spPr>
        <c:txPr>
          <a:bodyPr rot="-60000000" spcFirstLastPara="0" vertOverflow="ellipsis" vert="horz" wrap="square" anchor="ctr" anchorCtr="1"/>
          <a:lstStyle/>
          <a:p>
            <a:pPr>
              <a:defRPr lang="zh-CN" sz="900" b="0" i="0" u="none" strike="noStrike" kern="1200" spc="-1" baseline="0">
                <a:solidFill>
                  <a:srgbClr val="595959"/>
                </a:solidFill>
                <a:latin typeface="Calibri" panose="020F0502020204030204"/>
                <a:ea typeface="+mn-ea"/>
                <a:cs typeface="+mn-cs"/>
              </a:defRPr>
            </a:pPr>
          </a:p>
        </c:txPr>
        <c:crossAx val="3507824"/>
        <c:crosses val="autoZero"/>
        <c:crossBetween val="between"/>
      </c:valAx>
      <c:spPr>
        <a:noFill/>
        <a:ln>
          <a:noFill/>
        </a:ln>
      </c:spPr>
    </c:plotArea>
    <c:plotVisOnly val="1"/>
    <c:dispBlanksAs val="gap"/>
    <c:showDLblsOverMax val="0"/>
  </c:chart>
  <c:spPr>
    <a:solidFill>
      <a:srgbClr val="FFFFFF"/>
    </a:solidFill>
    <a:ln w="9360" cap="flat" cmpd="sng" algn="ctr">
      <a:solidFill>
        <a:srgbClr val="D9D9D9"/>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图3 通信与电子工程学院2022届毕业生各专业人数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电子信息科学与技术</c:v>
                </c:pt>
                <c:pt idx="1">
                  <c:v>电子信息工程</c:v>
                </c:pt>
                <c:pt idx="2">
                  <c:v>通信工程</c:v>
                </c:pt>
                <c:pt idx="3">
                  <c:v>电气工程及其自动化</c:v>
                </c:pt>
              </c:strCache>
            </c:strRef>
          </c:cat>
          <c:val>
            <c:numRef>
              <c:f>Sheet1!$B$2:$B$5</c:f>
              <c:numCache>
                <c:formatCode>0.00%</c:formatCode>
                <c:ptCount val="4"/>
                <c:pt idx="0">
                  <c:v>0.1424</c:v>
                </c:pt>
                <c:pt idx="1" c:formatCode="0%">
                  <c:v>0.25</c:v>
                </c:pt>
                <c:pt idx="2">
                  <c:v>0.2743</c:v>
                </c:pt>
                <c:pt idx="3">
                  <c:v>0.3333</c:v>
                </c:pt>
              </c:numCache>
            </c:numRef>
          </c:val>
        </c:ser>
        <c:dLbls>
          <c:showLegendKey val="0"/>
          <c:showVal val="1"/>
          <c:showCatName val="0"/>
          <c:showSerName val="0"/>
          <c:showPercent val="0"/>
          <c:showBubbleSize val="0"/>
        </c:dLbls>
        <c:gapWidth val="150"/>
        <c:overlap val="100"/>
        <c:axId val="62539596"/>
        <c:axId val="653794120"/>
      </c:barChart>
      <c:catAx>
        <c:axId val="625395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3794120"/>
        <c:crosses val="autoZero"/>
        <c:auto val="1"/>
        <c:lblAlgn val="ctr"/>
        <c:lblOffset val="100"/>
        <c:noMultiLvlLbl val="0"/>
      </c:catAx>
      <c:valAx>
        <c:axId val="653794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53959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chemeClr val="dk1">
                    <a:lumMod val="75000"/>
                    <a:lumOff val="25000"/>
                  </a:schemeClr>
                </a:solidFill>
                <a:latin typeface="+mn-lt"/>
                <a:ea typeface="+mn-ea"/>
                <a:cs typeface="+mn-cs"/>
              </a:defRPr>
            </a:pPr>
            <a:r>
              <a:rPr sz="1200" b="0"/>
              <a:t>图4  通信与电子工程学院毕业生继续深造情况</a:t>
            </a:r>
            <a:endParaRPr sz="1200" b="0"/>
          </a:p>
        </c:rich>
      </c:tx>
      <c:layout/>
      <c:overlay val="0"/>
      <c:spPr>
        <a:noFill/>
        <a:ln>
          <a:noFill/>
        </a:ln>
        <a:effectLst/>
      </c:spPr>
    </c:title>
    <c:autoTitleDeleted val="0"/>
    <c:plotArea>
      <c:layout/>
      <c:pieChart>
        <c:varyColors val="1"/>
        <c:ser>
          <c:idx val="0"/>
          <c:order val="0"/>
          <c:tx>
            <c:strRef>
              <c:f>Sheet1!$B$1</c:f>
              <c:strCache>
                <c:ptCount val="1"/>
                <c:pt idx="0">
                  <c:v>图4  通信与电子工程学院毕业生继续深造情况</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86.11%</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13.89%</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总人数</c:v>
                </c:pt>
                <c:pt idx="1">
                  <c:v>升学人数</c:v>
                </c:pt>
              </c:strCache>
            </c:strRef>
          </c:cat>
          <c:val>
            <c:numRef>
              <c:f>Sheet1!$B$2:$B$5</c:f>
              <c:numCache>
                <c:formatCode>0.00%</c:formatCode>
                <c:ptCount val="4"/>
                <c:pt idx="0">
                  <c:v>0.8611</c:v>
                </c:pt>
                <c:pt idx="1">
                  <c:v>0.1389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chemeClr val="dk1">
                    <a:lumMod val="75000"/>
                    <a:lumOff val="25000"/>
                  </a:schemeClr>
                </a:solidFill>
                <a:latin typeface="+mn-lt"/>
                <a:ea typeface="+mn-ea"/>
                <a:cs typeface="+mn-cs"/>
              </a:defRPr>
            </a:pPr>
            <a:r>
              <a:rPr sz="1200" b="0"/>
              <a:t>图</a:t>
            </a:r>
            <a:r>
              <a:rPr lang="en-US" altLang="zh-CN" sz="1200" b="0"/>
              <a:t>5 </a:t>
            </a:r>
            <a:r>
              <a:rPr altLang="en-US" sz="1200" b="0"/>
              <a:t>用人单位对我院毕业生综合素质的评价</a:t>
            </a:r>
            <a:endParaRPr lang="en-US" altLang="zh-CN" sz="1200" b="0"/>
          </a:p>
        </c:rich>
      </c:tx>
      <c:layout/>
      <c:overlay val="0"/>
      <c:spPr>
        <a:noFill/>
        <a:ln>
          <a:noFill/>
        </a:ln>
        <a:effectLst/>
      </c:spPr>
    </c:title>
    <c:autoTitleDeleted val="0"/>
    <c:plotArea>
      <c:layout/>
      <c:barChart>
        <c:barDir val="col"/>
        <c:grouping val="percentStacked"/>
        <c:varyColors val="0"/>
        <c:ser>
          <c:idx val="0"/>
          <c:order val="0"/>
          <c:tx>
            <c:strRef>
              <c:f>Sheet1!$B$1</c:f>
              <c:strCache>
                <c:ptCount val="1"/>
                <c:pt idx="0">
                  <c:v>图5 用人单位对我院毕业生综合素质的评价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思想政治与道德品质</c:v>
                </c:pt>
                <c:pt idx="1">
                  <c:v>工作态度</c:v>
                </c:pt>
                <c:pt idx="2">
                  <c:v>专业水平</c:v>
                </c:pt>
                <c:pt idx="3">
                  <c:v>职业能力</c:v>
                </c:pt>
                <c:pt idx="4">
                  <c:v>工作岗位匹配度</c:v>
                </c:pt>
                <c:pt idx="5">
                  <c:v>综合评价</c:v>
                </c:pt>
              </c:strCache>
            </c:strRef>
          </c:cat>
          <c:val>
            <c:numRef>
              <c:f>Sheet1!$B$2:$B$7</c:f>
              <c:numCache>
                <c:formatCode>General</c:formatCode>
                <c:ptCount val="6"/>
                <c:pt idx="0">
                  <c:v>100</c:v>
                </c:pt>
                <c:pt idx="1">
                  <c:v>96</c:v>
                </c:pt>
                <c:pt idx="2">
                  <c:v>92</c:v>
                </c:pt>
                <c:pt idx="3">
                  <c:v>93</c:v>
                </c:pt>
                <c:pt idx="4">
                  <c:v>96</c:v>
                </c:pt>
                <c:pt idx="5">
                  <c:v>95</c:v>
                </c:pt>
              </c:numCache>
            </c:numRef>
          </c:val>
        </c:ser>
        <c:dLbls>
          <c:showLegendKey val="0"/>
          <c:showVal val="1"/>
          <c:showCatName val="0"/>
          <c:showSerName val="0"/>
          <c:showPercent val="0"/>
          <c:showBubbleSize val="0"/>
        </c:dLbls>
        <c:gapWidth val="150"/>
        <c:overlap val="100"/>
        <c:axId val="864190162"/>
        <c:axId val="168887727"/>
      </c:barChart>
      <c:catAx>
        <c:axId val="86419016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168887727"/>
        <c:crosses val="autoZero"/>
        <c:auto val="1"/>
        <c:lblAlgn val="ctr"/>
        <c:lblOffset val="100"/>
        <c:noMultiLvlLbl val="0"/>
      </c:catAx>
      <c:valAx>
        <c:axId val="16888772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86419016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b="0"/>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校园招聘服务工作水平</c:v>
                </c:pt>
              </c:strCache>
            </c:strRef>
          </c:tx>
          <c:spPr>
            <a:solidFill>
              <a:schemeClr val="accent1"/>
            </a:solidFill>
            <a:ln>
              <a:noFill/>
            </a:ln>
            <a:effectLst/>
          </c:spPr>
          <c:invertIfNegative val="0"/>
          <c:dLbls>
            <c:delete val="1"/>
          </c:dLbls>
          <c:cat>
            <c:strRef>
              <c:f>Sheet1!$A$2:$A$6</c:f>
              <c:strCache>
                <c:ptCount val="5"/>
                <c:pt idx="0">
                  <c:v>非常满意</c:v>
                </c:pt>
                <c:pt idx="1">
                  <c:v>满意</c:v>
                </c:pt>
                <c:pt idx="2">
                  <c:v>一般</c:v>
                </c:pt>
                <c:pt idx="3">
                  <c:v>不满意</c:v>
                </c:pt>
                <c:pt idx="4">
                  <c:v>非常不满意</c:v>
                </c:pt>
              </c:strCache>
            </c:strRef>
          </c:cat>
          <c:val>
            <c:numRef>
              <c:f>Sheet1!$B$2:$B$6</c:f>
              <c:numCache>
                <c:formatCode>General</c:formatCode>
                <c:ptCount val="5"/>
                <c:pt idx="0">
                  <c:v>44</c:v>
                </c:pt>
                <c:pt idx="1">
                  <c:v>1</c:v>
                </c:pt>
                <c:pt idx="2">
                  <c:v>0</c:v>
                </c:pt>
                <c:pt idx="3">
                  <c:v>0</c:v>
                </c:pt>
                <c:pt idx="4">
                  <c:v>0</c:v>
                </c:pt>
              </c:numCache>
            </c:numRef>
          </c:val>
        </c:ser>
        <c:ser>
          <c:idx val="1"/>
          <c:order val="1"/>
          <c:tx>
            <c:strRef>
              <c:f>Sheet1!$C$1</c:f>
              <c:strCache>
                <c:ptCount val="1"/>
                <c:pt idx="0">
                  <c:v>学生就业指导服务水平</c:v>
                </c:pt>
              </c:strCache>
            </c:strRef>
          </c:tx>
          <c:spPr>
            <a:solidFill>
              <a:schemeClr val="accent2"/>
            </a:solidFill>
            <a:ln>
              <a:noFill/>
            </a:ln>
            <a:effectLst/>
          </c:spPr>
          <c:invertIfNegative val="0"/>
          <c:dLbls>
            <c:delete val="1"/>
          </c:dLbls>
          <c:cat>
            <c:strRef>
              <c:f>Sheet1!$A$2:$A$6</c:f>
              <c:strCache>
                <c:ptCount val="5"/>
                <c:pt idx="0">
                  <c:v>非常满意</c:v>
                </c:pt>
                <c:pt idx="1">
                  <c:v>满意</c:v>
                </c:pt>
                <c:pt idx="2">
                  <c:v>一般</c:v>
                </c:pt>
                <c:pt idx="3">
                  <c:v>不满意</c:v>
                </c:pt>
                <c:pt idx="4">
                  <c:v>非常不满意</c:v>
                </c:pt>
              </c:strCache>
            </c:strRef>
          </c:cat>
          <c:val>
            <c:numRef>
              <c:f>Sheet1!$C$2:$C$6</c:f>
              <c:numCache>
                <c:formatCode>General</c:formatCode>
                <c:ptCount val="5"/>
                <c:pt idx="0">
                  <c:v>43</c:v>
                </c:pt>
                <c:pt idx="1">
                  <c:v>2</c:v>
                </c:pt>
                <c:pt idx="2">
                  <c:v>0</c:v>
                </c:pt>
                <c:pt idx="3">
                  <c:v>0</c:v>
                </c:pt>
                <c:pt idx="4">
                  <c:v>0</c:v>
                </c:pt>
              </c:numCache>
            </c:numRef>
          </c:val>
        </c:ser>
        <c:dLbls>
          <c:showLegendKey val="0"/>
          <c:showVal val="0"/>
          <c:showCatName val="0"/>
          <c:showSerName val="0"/>
          <c:showPercent val="0"/>
          <c:showBubbleSize val="0"/>
        </c:dLbls>
        <c:gapWidth val="219"/>
        <c:overlap val="-27"/>
        <c:axId val="245263215"/>
        <c:axId val="173963205"/>
      </c:barChart>
      <c:catAx>
        <c:axId val="24526321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3963205"/>
        <c:crosses val="autoZero"/>
        <c:auto val="1"/>
        <c:lblAlgn val="ctr"/>
        <c:lblOffset val="100"/>
        <c:noMultiLvlLbl val="0"/>
      </c:catAx>
      <c:valAx>
        <c:axId val="173963205"/>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526321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solidFill>
                  <a:schemeClr val="dk1">
                    <a:lumMod val="75000"/>
                    <a:lumOff val="25000"/>
                  </a:schemeClr>
                </a:solidFill>
                <a:latin typeface="+mn-lt"/>
                <a:ea typeface="+mn-ea"/>
                <a:cs typeface="+mn-cs"/>
              </a:defRPr>
            </a:pPr>
            <a:r>
              <a:rPr sz="1200" b="0">
                <a:latin typeface="+mn-ea"/>
                <a:cs typeface="+mn-ea"/>
              </a:rPr>
              <a:t>图7  毕业生对用人单位的评价</a:t>
            </a:r>
            <a:r>
              <a:rPr sz="1200">
                <a:latin typeface="+mn-ea"/>
                <a:cs typeface="+mn-ea"/>
              </a:rPr>
              <a:t> </a:t>
            </a:r>
            <a:endParaRPr sz="1200">
              <a:latin typeface="+mn-ea"/>
              <a:cs typeface="+mn-ea"/>
            </a:endParaRPr>
          </a:p>
        </c:rich>
      </c:tx>
      <c:layout/>
      <c:overlay val="0"/>
      <c:spPr>
        <a:noFill/>
        <a:ln>
          <a:noFill/>
        </a:ln>
        <a:effectLst/>
      </c:spPr>
    </c:title>
    <c:autoTitleDeleted val="0"/>
    <c:plotArea>
      <c:layout/>
      <c:barChart>
        <c:barDir val="col"/>
        <c:grouping val="stacked"/>
        <c:varyColors val="0"/>
        <c:ser>
          <c:idx val="0"/>
          <c:order val="0"/>
          <c:tx>
            <c:strRef>
              <c:f>Sheet1!$B$1</c:f>
              <c:strCache>
                <c:ptCount val="1"/>
                <c:pt idx="0">
                  <c:v>系列 1</c:v>
                </c:pt>
              </c:strCache>
            </c:strRef>
          </c:tx>
          <c:spPr>
            <a:solidFill>
              <a:schemeClr val="accent1"/>
            </a:solidFill>
            <a:ln w="9525" cap="flat" cmpd="sng" algn="ctr">
              <a:solidFill>
                <a:schemeClr val="accent1">
                  <a:alpha val="50000"/>
                </a:schemeClr>
              </a:solidFill>
              <a:round/>
            </a:ln>
            <a:effectLst/>
            <a:sp3d contourW="9525"/>
          </c:spPr>
          <c:invertIfNegative val="0"/>
          <c:dLbls>
            <c:spPr>
              <a:noFill/>
              <a:ln>
                <a:noFill/>
              </a:ln>
              <a:effectLst/>
            </c:spPr>
            <c:txPr>
              <a:bodyPr rot="0" spcFirstLastPara="0" vertOverflow="ellipsis" vert="horz" wrap="square" lIns="38100" tIns="19050" rIns="38100" bIns="19050" anchor="ctr" anchorCtr="1"/>
              <a:lstStyle/>
              <a:p>
                <a:pPr>
                  <a:defRPr lang="zh-CN" sz="14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非常满意</c:v>
                </c:pt>
                <c:pt idx="1">
                  <c:v>比较满意</c:v>
                </c:pt>
                <c:pt idx="2">
                  <c:v>满意</c:v>
                </c:pt>
                <c:pt idx="3">
                  <c:v>不太满意</c:v>
                </c:pt>
                <c:pt idx="4">
                  <c:v>不满意</c:v>
                </c:pt>
              </c:strCache>
            </c:strRef>
          </c:cat>
          <c:val>
            <c:numRef>
              <c:f>Sheet1!$B$2:$B$6</c:f>
              <c:numCache>
                <c:formatCode>General</c:formatCode>
                <c:ptCount val="5"/>
                <c:pt idx="0">
                  <c:v>13</c:v>
                </c:pt>
                <c:pt idx="1">
                  <c:v>34</c:v>
                </c:pt>
                <c:pt idx="2">
                  <c:v>46</c:v>
                </c:pt>
                <c:pt idx="3">
                  <c:v>7</c:v>
                </c:pt>
                <c:pt idx="4">
                  <c:v>0</c:v>
                </c:pt>
              </c:numCache>
            </c:numRef>
          </c:val>
        </c:ser>
        <c:dLbls>
          <c:showLegendKey val="0"/>
          <c:showVal val="1"/>
          <c:showCatName val="0"/>
          <c:showSerName val="0"/>
          <c:showPercent val="0"/>
          <c:showBubbleSize val="0"/>
        </c:dLbls>
        <c:gapWidth val="150"/>
        <c:overlap val="100"/>
        <c:axId val="574356696"/>
        <c:axId val="843718988"/>
      </c:barChart>
      <c:catAx>
        <c:axId val="574356696"/>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1400" b="0" i="0" u="none" strike="noStrike" kern="1200" cap="all" baseline="0">
                <a:solidFill>
                  <a:schemeClr val="dk1">
                    <a:lumMod val="75000"/>
                    <a:lumOff val="25000"/>
                  </a:schemeClr>
                </a:solidFill>
                <a:latin typeface="+mn-lt"/>
                <a:ea typeface="+mn-ea"/>
                <a:cs typeface="+mn-cs"/>
              </a:defRPr>
            </a:pPr>
          </a:p>
        </c:txPr>
        <c:crossAx val="843718988"/>
        <c:crosses val="autoZero"/>
        <c:auto val="1"/>
        <c:lblAlgn val="ctr"/>
        <c:lblOffset val="100"/>
        <c:noMultiLvlLbl val="0"/>
      </c:catAx>
      <c:valAx>
        <c:axId val="8437189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1400" b="0" i="0" u="none" strike="noStrike" kern="1200" baseline="0">
                <a:solidFill>
                  <a:schemeClr val="dk1">
                    <a:lumMod val="75000"/>
                    <a:lumOff val="25000"/>
                  </a:schemeClr>
                </a:solidFill>
                <a:latin typeface="+mn-lt"/>
                <a:ea typeface="+mn-ea"/>
                <a:cs typeface="+mn-cs"/>
              </a:defRPr>
            </a:pPr>
          </a:p>
        </c:txPr>
        <c:crossAx val="574356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sz="1400"/>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sz="1200" b="0"/>
              <a:t>图8 毕业生对学院就业创业工作的评价</a:t>
            </a:r>
            <a:endParaRPr sz="1200" b="0"/>
          </a:p>
        </c:rich>
      </c:tx>
      <c:layout/>
      <c:overlay val="0"/>
      <c:spPr>
        <a:noFill/>
        <a:ln>
          <a:noFill/>
        </a:ln>
        <a:effectLst/>
      </c:spPr>
    </c:title>
    <c:autoTitleDeleted val="0"/>
    <c:plotArea>
      <c:layout/>
      <c:barChart>
        <c:barDir val="col"/>
        <c:grouping val="stacked"/>
        <c:varyColors val="0"/>
        <c:ser>
          <c:idx val="0"/>
          <c:order val="0"/>
          <c:tx>
            <c:strRef>
              <c:f>Sheet1!$B$1</c:f>
              <c:strCache>
                <c:ptCount val="1"/>
                <c:pt idx="0">
                  <c:v>系列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非常满意</c:v>
                </c:pt>
                <c:pt idx="1">
                  <c:v>比较满意</c:v>
                </c:pt>
                <c:pt idx="2">
                  <c:v>满意</c:v>
                </c:pt>
                <c:pt idx="3">
                  <c:v>不太满意</c:v>
                </c:pt>
                <c:pt idx="4">
                  <c:v>不满意</c:v>
                </c:pt>
              </c:strCache>
            </c:strRef>
          </c:cat>
          <c:val>
            <c:numRef>
              <c:f>Sheet1!$B$2:$B$6</c:f>
              <c:numCache>
                <c:formatCode>General</c:formatCode>
                <c:ptCount val="5"/>
                <c:pt idx="0">
                  <c:v>49</c:v>
                </c:pt>
                <c:pt idx="1">
                  <c:v>35</c:v>
                </c:pt>
                <c:pt idx="2">
                  <c:v>13</c:v>
                </c:pt>
                <c:pt idx="3">
                  <c:v>1</c:v>
                </c:pt>
                <c:pt idx="4">
                  <c:v>2</c:v>
                </c:pt>
              </c:numCache>
            </c:numRef>
          </c:val>
        </c:ser>
        <c:dLbls>
          <c:showLegendKey val="0"/>
          <c:showVal val="1"/>
          <c:showCatName val="0"/>
          <c:showSerName val="0"/>
          <c:showPercent val="0"/>
          <c:showBubbleSize val="0"/>
        </c:dLbls>
        <c:gapWidth val="150"/>
        <c:overlap val="100"/>
        <c:axId val="998325001"/>
        <c:axId val="209983440"/>
      </c:barChart>
      <c:catAx>
        <c:axId val="998325001"/>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209983440"/>
        <c:crosses val="autoZero"/>
        <c:auto val="1"/>
        <c:lblAlgn val="ctr"/>
        <c:lblOffset val="100"/>
        <c:noMultiLvlLbl val="0"/>
      </c:catAx>
      <c:valAx>
        <c:axId val="209983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99832500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8294</Words>
  <Characters>9437</Characters>
  <Paragraphs>546</Paragraphs>
  <TotalTime>16</TotalTime>
  <ScaleCrop>false</ScaleCrop>
  <LinksUpToDate>false</LinksUpToDate>
  <CharactersWithSpaces>9585</CharactersWithSpaces>
  <Application>WPS Office_11.1.0.12980_F1E327BC-269C-435d-A152-05C5408002CA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2019-01-10T08:32:00Z</dcterms:created>
  <dc:creator>Mr.Sea</dc:creator>
  <cp:lastModifiedBy>WPS_1476323966</cp:lastModifiedBy>
  <cp:lastPrinted>2021-12-27T07:28:00Z</cp:lastPrinted>
  <dcterms:modified xsi:type="dcterms:W3CDTF">2022-12-26T08:21:51Z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2052-11.1.0.12980</vt:lpwstr>
  </property>
  <property fmtid="{D5CDD505-2E9C-101B-9397-08002B2CF9AE}" pid="4" name="KSORubyTemplateID">
    <vt:lpwstr>6</vt:lpwstr>
  </property>
  <property fmtid="{D5CDD505-2E9C-101B-9397-08002B2CF9AE}" pid="5" name="LinksUpToDate">
    <vt:bool>false</vt:bool>
  </property>
  <property fmtid="{D5CDD505-2E9C-101B-9397-08002B2CF9AE}" pid="6" name="ScaleCrop">
    <vt:bool>false</vt:bool>
  </property>
  <property fmtid="{D5CDD505-2E9C-101B-9397-08002B2CF9AE}" pid="7" name="ICV">
    <vt:lpwstr>2675C47F30164F858B9C78146808EA19</vt:lpwstr>
  </property>
</Properties>
</file>