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color w:val="000000"/>
          <w:kern w:val="0"/>
          <w:sz w:val="28"/>
          <w:szCs w:val="28"/>
          <w:shd w:val="clear" w:color="auto" w:fill="FFFFFF"/>
        </w:rPr>
      </w:pPr>
    </w:p>
    <w:p>
      <w:pPr>
        <w:jc w:val="center"/>
        <w:rPr>
          <w:rFonts w:ascii="Arial" w:hAnsi="Arial" w:cs="Arial"/>
          <w:color w:val="000000"/>
          <w:kern w:val="0"/>
          <w:sz w:val="28"/>
          <w:szCs w:val="28"/>
          <w:shd w:val="clear" w:color="auto" w:fill="FFFFFF"/>
        </w:rPr>
      </w:pPr>
      <w:r>
        <w:drawing>
          <wp:anchor distT="0" distB="0" distL="114300" distR="114300" simplePos="0" relativeHeight="251661312" behindDoc="0" locked="0" layoutInCell="1" allowOverlap="0">
            <wp:simplePos x="0" y="0"/>
            <wp:positionH relativeFrom="column">
              <wp:posOffset>3810</wp:posOffset>
            </wp:positionH>
            <wp:positionV relativeFrom="paragraph">
              <wp:posOffset>-99060</wp:posOffset>
            </wp:positionV>
            <wp:extent cx="2286000" cy="733425"/>
            <wp:effectExtent l="0" t="0" r="0" b="9525"/>
            <wp:wrapNone/>
            <wp:docPr id="3" name="图片 2" descr="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吉大标志"/>
                    <pic:cNvPicPr>
                      <a:picLocks noChangeAspect="1"/>
                    </pic:cNvPicPr>
                  </pic:nvPicPr>
                  <pic:blipFill>
                    <a:blip r:embed="rId5"/>
                    <a:stretch>
                      <a:fillRect/>
                    </a:stretch>
                  </pic:blipFill>
                  <pic:spPr>
                    <a:xfrm>
                      <a:off x="0" y="0"/>
                      <a:ext cx="2286000" cy="733425"/>
                    </a:xfrm>
                    <a:prstGeom prst="rect">
                      <a:avLst/>
                    </a:prstGeom>
                    <a:noFill/>
                    <a:ln w="9525">
                      <a:noFill/>
                    </a:ln>
                  </pic:spPr>
                </pic:pic>
              </a:graphicData>
            </a:graphic>
          </wp:anchor>
        </w:drawing>
      </w:r>
    </w:p>
    <w:p>
      <w:pPr>
        <w:spacing w:line="360" w:lineRule="auto"/>
        <w:jc w:val="center"/>
        <w:rPr>
          <w:rFonts w:ascii="隶书" w:hAnsi="黑体" w:eastAsia="隶书"/>
          <w:color w:val="000000"/>
          <w:spacing w:val="-6"/>
          <w:w w:val="70"/>
          <w:sz w:val="80"/>
          <w:szCs w:val="80"/>
        </w:rPr>
      </w:pPr>
    </w:p>
    <w:p>
      <w:pPr>
        <w:spacing w:line="360" w:lineRule="auto"/>
        <w:jc w:val="center"/>
        <w:rPr>
          <w:rFonts w:hint="eastAsia" w:ascii="隶书" w:hAnsi="黑体" w:eastAsia="隶书"/>
          <w:color w:val="000000"/>
          <w:spacing w:val="-6"/>
          <w:w w:val="70"/>
          <w:sz w:val="72"/>
          <w:szCs w:val="72"/>
          <w:lang w:eastAsia="zh-CN"/>
        </w:rPr>
      </w:pPr>
      <w:r>
        <w:rPr>
          <w:rFonts w:hint="eastAsia" w:ascii="隶书" w:hAnsi="黑体" w:eastAsia="隶书"/>
          <w:color w:val="000000"/>
          <w:spacing w:val="-6"/>
          <w:w w:val="70"/>
          <w:sz w:val="72"/>
          <w:szCs w:val="72"/>
        </w:rPr>
        <w:t>201</w:t>
      </w:r>
      <w:r>
        <w:rPr>
          <w:rFonts w:hint="eastAsia" w:ascii="隶书" w:hAnsi="黑体" w:eastAsia="隶书"/>
          <w:color w:val="000000"/>
          <w:spacing w:val="-6"/>
          <w:w w:val="70"/>
          <w:sz w:val="72"/>
          <w:szCs w:val="72"/>
          <w:lang w:val="en-US" w:eastAsia="zh-CN"/>
        </w:rPr>
        <w:t>7</w:t>
      </w:r>
      <w:r>
        <w:rPr>
          <w:rFonts w:hint="eastAsia" w:ascii="隶书" w:hAnsi="黑体" w:eastAsia="隶书"/>
          <w:color w:val="000000"/>
          <w:spacing w:val="-6"/>
          <w:w w:val="70"/>
          <w:sz w:val="72"/>
          <w:szCs w:val="72"/>
        </w:rPr>
        <w:t>届毕业生</w:t>
      </w:r>
      <w:r>
        <w:rPr>
          <w:rFonts w:hint="eastAsia" w:ascii="隶书" w:hAnsi="黑体" w:eastAsia="隶书"/>
          <w:color w:val="000000"/>
          <w:spacing w:val="-6"/>
          <w:w w:val="70"/>
          <w:sz w:val="72"/>
          <w:szCs w:val="72"/>
          <w:lang w:eastAsia="zh-CN"/>
        </w:rPr>
        <w:t>就业创业工作总结</w:t>
      </w:r>
    </w:p>
    <w:p>
      <w:pPr>
        <w:spacing w:line="360" w:lineRule="auto"/>
        <w:jc w:val="center"/>
        <w:rPr>
          <w:rFonts w:ascii="仿宋_GB2312" w:hAnsi="黑体" w:eastAsia="仿宋_GB2312"/>
          <w:color w:val="000000"/>
          <w:sz w:val="72"/>
          <w:szCs w:val="72"/>
        </w:rPr>
      </w:pPr>
    </w:p>
    <w:p>
      <w:pPr>
        <w:spacing w:line="360" w:lineRule="auto"/>
        <w:rPr>
          <w:rFonts w:ascii="仿宋_GB2312" w:hAnsi="黑体" w:eastAsia="仿宋_GB2312"/>
          <w:color w:val="000000"/>
          <w:sz w:val="72"/>
          <w:szCs w:val="72"/>
        </w:rPr>
      </w:pPr>
    </w:p>
    <w:p>
      <w:pPr>
        <w:spacing w:line="360" w:lineRule="auto"/>
        <w:jc w:val="center"/>
        <w:rPr>
          <w:rFonts w:ascii="仿宋_GB2312" w:hAnsi="黑体" w:eastAsia="仿宋_GB2312"/>
          <w:color w:val="000000"/>
          <w:sz w:val="72"/>
          <w:szCs w:val="72"/>
        </w:rPr>
      </w:pPr>
    </w:p>
    <w:p>
      <w:pPr>
        <w:spacing w:line="360" w:lineRule="auto"/>
        <w:jc w:val="center"/>
        <w:rPr>
          <w:rFonts w:ascii="仿宋_GB2312" w:hAnsi="黑体" w:eastAsia="仿宋_GB2312"/>
          <w:color w:val="000000"/>
          <w:sz w:val="72"/>
          <w:szCs w:val="72"/>
        </w:rPr>
      </w:pPr>
    </w:p>
    <w:p>
      <w:pPr>
        <w:spacing w:line="360" w:lineRule="auto"/>
        <w:jc w:val="center"/>
        <w:rPr>
          <w:rFonts w:ascii="仿宋_GB2312" w:hAnsi="黑体" w:eastAsia="仿宋_GB2312"/>
          <w:color w:val="000000"/>
          <w:sz w:val="72"/>
          <w:szCs w:val="72"/>
        </w:rPr>
      </w:pPr>
    </w:p>
    <w:p>
      <w:pPr>
        <w:spacing w:line="360" w:lineRule="auto"/>
        <w:jc w:val="center"/>
        <w:rPr>
          <w:rFonts w:ascii="仿宋_GB2312" w:hAnsi="黑体" w:eastAsia="仿宋_GB2312"/>
          <w:color w:val="000000"/>
          <w:sz w:val="72"/>
          <w:szCs w:val="72"/>
        </w:rPr>
      </w:pPr>
    </w:p>
    <w:p>
      <w:pPr>
        <w:spacing w:line="360" w:lineRule="auto"/>
        <w:jc w:val="center"/>
        <w:rPr>
          <w:rFonts w:ascii="仿宋_GB2312" w:hAnsi="黑体" w:eastAsia="仿宋_GB2312"/>
          <w:color w:val="000000"/>
          <w:sz w:val="72"/>
          <w:szCs w:val="72"/>
        </w:rPr>
      </w:pPr>
    </w:p>
    <w:p>
      <w:pPr>
        <w:spacing w:line="360" w:lineRule="auto"/>
        <w:jc w:val="center"/>
        <w:rPr>
          <w:rFonts w:ascii="仿宋_GB2312" w:hAnsi="黑体" w:eastAsia="仿宋_GB2312"/>
          <w:b/>
          <w:bCs/>
          <w:color w:val="000000"/>
          <w:sz w:val="44"/>
          <w:szCs w:val="44"/>
        </w:rPr>
      </w:pPr>
      <w:r>
        <w:rPr>
          <w:rFonts w:hint="eastAsia" w:ascii="Arial" w:hAnsi="Arial" w:cs="Arial"/>
          <w:b/>
          <w:bCs/>
          <w:color w:val="000000"/>
          <w:kern w:val="0"/>
          <w:sz w:val="44"/>
          <w:szCs w:val="44"/>
          <w:shd w:val="clear" w:color="auto" w:fill="FFFFFF"/>
        </w:rPr>
        <w:t>信息科学与工程学院</w:t>
      </w:r>
    </w:p>
    <w:p>
      <w:pPr>
        <w:spacing w:line="360" w:lineRule="auto"/>
        <w:jc w:val="center"/>
        <w:rPr>
          <w:rFonts w:ascii="楷体_GB2312" w:hAnsi="黑体" w:eastAsia="楷体_GB2312"/>
          <w:b/>
          <w:color w:val="000000"/>
          <w:sz w:val="44"/>
          <w:szCs w:val="44"/>
        </w:rPr>
      </w:pPr>
      <w:r>
        <w:rPr>
          <w:rFonts w:hint="eastAsia" w:ascii="楷体_GB2312" w:hAnsi="黑体" w:eastAsia="楷体_GB2312"/>
          <w:b/>
          <w:color w:val="000000"/>
          <w:sz w:val="44"/>
          <w:szCs w:val="44"/>
        </w:rPr>
        <w:t>201</w:t>
      </w:r>
      <w:r>
        <w:rPr>
          <w:rFonts w:hint="eastAsia" w:ascii="楷体_GB2312" w:hAnsi="黑体" w:eastAsia="楷体_GB2312"/>
          <w:b/>
          <w:color w:val="000000"/>
          <w:sz w:val="44"/>
          <w:szCs w:val="44"/>
          <w:lang w:val="en-US" w:eastAsia="zh-CN"/>
        </w:rPr>
        <w:t>7</w:t>
      </w:r>
      <w:r>
        <w:rPr>
          <w:rFonts w:hint="eastAsia" w:ascii="楷体_GB2312" w:hAnsi="黑体" w:eastAsia="楷体_GB2312"/>
          <w:b/>
          <w:color w:val="000000"/>
          <w:sz w:val="44"/>
          <w:szCs w:val="44"/>
        </w:rPr>
        <w:t>年12月</w:t>
      </w:r>
    </w:p>
    <w:p>
      <w:pPr>
        <w:rPr>
          <w:rFonts w:ascii="Arial" w:hAnsi="Arial" w:cs="Arial"/>
          <w:color w:val="000000"/>
          <w:kern w:val="0"/>
          <w:sz w:val="28"/>
          <w:szCs w:val="28"/>
          <w:shd w:val="clear" w:color="auto" w:fill="FFFFFF"/>
        </w:rPr>
      </w:pPr>
      <w:r>
        <w:rPr>
          <w:rFonts w:hint="eastAsia" w:ascii="仿宋_GB2312" w:eastAsia="仿宋_GB2312"/>
          <w:color w:val="000000"/>
        </w:rPr>
        <w:br w:type="page"/>
      </w:r>
    </w:p>
    <w:p>
      <w:pPr>
        <w:jc w:val="center"/>
        <w:rPr>
          <w:rFonts w:ascii="Arial" w:hAnsi="Arial" w:cs="Arial"/>
          <w:b/>
          <w:bCs/>
          <w:color w:val="000000"/>
          <w:kern w:val="0"/>
          <w:sz w:val="28"/>
          <w:szCs w:val="28"/>
          <w:shd w:val="clear" w:color="auto" w:fill="FFFFFF"/>
        </w:rPr>
      </w:pPr>
      <w:r>
        <w:rPr>
          <w:rFonts w:hint="eastAsia" w:ascii="仿宋" w:hAnsi="仿宋" w:eastAsia="仿宋" w:cs="仿宋"/>
          <w:b/>
          <w:bCs/>
          <w:color w:val="000000"/>
          <w:kern w:val="0"/>
          <w:sz w:val="32"/>
          <w:szCs w:val="32"/>
          <w:shd w:val="clear" w:color="auto" w:fill="FFFFFF"/>
        </w:rPr>
        <w:t>学院简介</w:t>
      </w:r>
    </w:p>
    <w:p>
      <w:pPr>
        <w:pStyle w:val="27"/>
      </w:pPr>
      <w:r>
        <w:rPr>
          <w:rFonts w:hint="eastAsia" w:ascii="Arial" w:hAnsi="Arial" w:cs="Arial"/>
          <w:color w:val="000000"/>
          <w:sz w:val="28"/>
          <w:szCs w:val="28"/>
          <w:shd w:val="clear" w:color="auto" w:fill="FFFFFF"/>
        </w:rPr>
        <w:t xml:space="preserve"> </w:t>
      </w: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05" w:lineRule="atLeast"/>
        <w:ind w:right="0" w:firstLine="640" w:firstLineChars="200"/>
        <w:jc w:val="both"/>
        <w:rPr>
          <w:rFonts w:ascii="仿宋" w:hAnsi="仿宋" w:eastAsia="仿宋" w:cs="Arial"/>
          <w:color w:val="000000"/>
          <w:kern w:val="0"/>
          <w:sz w:val="32"/>
          <w:szCs w:val="32"/>
          <w:shd w:val="clear" w:color="auto" w:fill="FFFFFF"/>
          <w:lang w:val="en-US" w:eastAsia="zh-CN" w:bidi="ar-SA"/>
        </w:rPr>
      </w:pPr>
      <w:r>
        <w:rPr>
          <w:rFonts w:ascii="仿宋" w:hAnsi="仿宋" w:eastAsia="仿宋" w:cs="Arial"/>
          <w:color w:val="000000"/>
          <w:kern w:val="0"/>
          <w:sz w:val="32"/>
          <w:szCs w:val="32"/>
          <w:shd w:val="clear" w:color="auto" w:fill="FFFFFF"/>
          <w:lang w:val="en-US" w:eastAsia="zh-CN" w:bidi="ar-SA"/>
        </w:rPr>
        <w:t>吉首大学信息科学与工程学院于</w:t>
      </w:r>
      <w:r>
        <w:rPr>
          <w:rFonts w:hint="default" w:ascii="仿宋" w:hAnsi="仿宋" w:eastAsia="仿宋" w:cs="Arial"/>
          <w:color w:val="000000"/>
          <w:kern w:val="0"/>
          <w:sz w:val="32"/>
          <w:szCs w:val="32"/>
          <w:shd w:val="clear" w:color="auto" w:fill="FFFFFF"/>
          <w:lang w:val="en-US" w:eastAsia="zh-CN" w:bidi="ar-SA"/>
        </w:rPr>
        <w:t>2011年组建，现有5个本科专业：计算机科学与技术、电子信息工程、通信工程、网络工程、电气工程及其自动化；其中计算机科学与技术为校级重点建设专业，计算机科学与技术、通信工程两专业被列为学校首批服务武陵山片区区域发展与扶贫攻坚特色专业。学院与上海杰普软件实训基地、北京千锋互联科技有限公司、国家电网怀化供电公司、深圳市政通电子股份有限公司、中国联通、长沙达内软件有限公司等多个校外实习实训基地联合开展专业建设与人才培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05" w:lineRule="atLeast"/>
        <w:ind w:right="0" w:firstLine="640" w:firstLineChars="200"/>
        <w:jc w:val="both"/>
        <w:rPr>
          <w:rFonts w:ascii="仿宋" w:hAnsi="仿宋" w:eastAsia="仿宋" w:cs="Arial"/>
          <w:color w:val="000000"/>
          <w:kern w:val="0"/>
          <w:sz w:val="32"/>
          <w:szCs w:val="32"/>
          <w:shd w:val="clear" w:color="auto" w:fill="FFFFFF"/>
          <w:lang w:val="en-US" w:eastAsia="zh-CN" w:bidi="ar-SA"/>
        </w:rPr>
      </w:pPr>
      <w:r>
        <w:rPr>
          <w:rFonts w:hint="default" w:ascii="仿宋" w:hAnsi="仿宋" w:eastAsia="仿宋" w:cs="Arial"/>
          <w:color w:val="000000"/>
          <w:kern w:val="0"/>
          <w:sz w:val="32"/>
          <w:szCs w:val="32"/>
          <w:shd w:val="clear" w:color="auto" w:fill="FFFFFF"/>
          <w:lang w:val="en-US" w:eastAsia="zh-CN" w:bidi="ar-SA"/>
        </w:rPr>
        <w:t>学院现有教职工</w:t>
      </w:r>
      <w:r>
        <w:rPr>
          <w:rFonts w:hint="eastAsia" w:ascii="仿宋" w:hAnsi="仿宋" w:eastAsia="仿宋" w:cs="Arial"/>
          <w:color w:val="000000"/>
          <w:kern w:val="0"/>
          <w:sz w:val="32"/>
          <w:szCs w:val="32"/>
          <w:shd w:val="clear" w:color="auto" w:fill="FFFFFF"/>
          <w:lang w:val="en-US" w:eastAsia="zh-CN" w:bidi="ar-SA"/>
        </w:rPr>
        <w:t>58</w:t>
      </w:r>
      <w:r>
        <w:rPr>
          <w:rFonts w:hint="default" w:ascii="仿宋" w:hAnsi="仿宋" w:eastAsia="仿宋" w:cs="Arial"/>
          <w:color w:val="000000"/>
          <w:kern w:val="0"/>
          <w:sz w:val="32"/>
          <w:szCs w:val="32"/>
          <w:shd w:val="clear" w:color="auto" w:fill="FFFFFF"/>
          <w:lang w:val="en-US" w:eastAsia="zh-CN" w:bidi="ar-SA"/>
        </w:rPr>
        <w:t>人，其中具有教授和副教授职称的23人，具有博士学位和在读博士共18人，拥有一批优秀学术骨干，已初步形成一支朝气蓬勃、富有潜力的教学科研团队。近几年来，学院老师先后主持或参与国家自然科学基金项目，省自然科学基金、省科技计划、省教育厅优秀青年项目等科研项目三十余项，学院教师在IEEE Transactions系列期刊及知名国际会议上发表高水平论文多篇。计算机科学与技术一级学科为学校“十二五”重点建设学科，学院设有智能计算及其应用二级硕士点。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05" w:lineRule="atLeast"/>
        <w:ind w:right="0" w:firstLine="640" w:firstLineChars="200"/>
        <w:jc w:val="both"/>
        <w:rPr>
          <w:rFonts w:hint="default" w:ascii="仿宋" w:hAnsi="仿宋" w:eastAsia="仿宋" w:cs="Arial"/>
          <w:color w:val="000000"/>
          <w:kern w:val="0"/>
          <w:sz w:val="32"/>
          <w:szCs w:val="32"/>
          <w:shd w:val="clear" w:color="auto" w:fill="FFFFFF"/>
          <w:lang w:val="en-US" w:eastAsia="zh-CN" w:bidi="ar-SA"/>
        </w:rPr>
      </w:pPr>
      <w:r>
        <w:rPr>
          <w:rFonts w:hint="default" w:ascii="仿宋" w:hAnsi="仿宋" w:eastAsia="仿宋" w:cs="Arial"/>
          <w:color w:val="000000"/>
          <w:kern w:val="0"/>
          <w:sz w:val="32"/>
          <w:szCs w:val="32"/>
          <w:shd w:val="clear" w:color="auto" w:fill="FFFFFF"/>
          <w:lang w:val="en-US" w:eastAsia="zh-CN" w:bidi="ar-SA"/>
        </w:rPr>
        <w:t>学院设有计算机科学与技术系、电子信息工程系、通信工程系、网络工程系、电气工程及其自动化系、公共计算机第一教学部、公共计算机第二教学部及实验实践教学中心八个行政系（部、中心），建有电子与通信技术、计算机与网络工程、电气工程及自动控制三大实验中心，拥有各类先进的教学科研专用仪器设备,实验室仪器设备总值2100多万元。目前学院有各类在校学生1300余名，学院高度重视学生科技创新能力和综合素质的培养，建有湖南省电子信息类专业校企合作创新创业教育基地、校计算机应用技术创新基地和电子电工创新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05" w:lineRule="atLeast"/>
        <w:ind w:right="0" w:firstLine="640" w:firstLineChars="200"/>
        <w:jc w:val="both"/>
        <w:rPr>
          <w:rFonts w:hint="default" w:ascii="仿宋" w:hAnsi="仿宋" w:eastAsia="仿宋" w:cs="Arial"/>
          <w:color w:val="000000"/>
          <w:kern w:val="0"/>
          <w:sz w:val="32"/>
          <w:szCs w:val="32"/>
          <w:shd w:val="clear" w:color="auto" w:fill="FFFFFF"/>
          <w:lang w:val="en-US" w:eastAsia="zh-CN" w:bidi="ar-SA"/>
        </w:rPr>
      </w:pPr>
      <w:r>
        <w:rPr>
          <w:rFonts w:ascii="仿宋" w:hAnsi="仿宋" w:eastAsia="仿宋" w:cs="Arial"/>
          <w:color w:val="000000"/>
          <w:sz w:val="32"/>
          <w:szCs w:val="32"/>
          <w:shd w:val="clear" w:color="auto" w:fill="FFFFFF"/>
        </w:rPr>
        <w:t>目前学院有</w:t>
      </w:r>
      <w:r>
        <w:rPr>
          <w:rFonts w:hint="eastAsia" w:ascii="仿宋" w:hAnsi="仿宋" w:eastAsia="仿宋" w:cs="Arial"/>
          <w:color w:val="000000"/>
          <w:sz w:val="32"/>
          <w:szCs w:val="32"/>
          <w:shd w:val="clear" w:color="auto" w:fill="FFFFFF"/>
        </w:rPr>
        <w:t>全</w:t>
      </w:r>
      <w:r>
        <w:rPr>
          <w:rFonts w:hint="eastAsia" w:ascii="仿宋" w:hAnsi="仿宋" w:eastAsia="仿宋" w:cs="Arial"/>
          <w:color w:val="auto"/>
          <w:sz w:val="32"/>
          <w:szCs w:val="32"/>
          <w:shd w:val="clear" w:color="auto" w:fill="FFFFFF"/>
        </w:rPr>
        <w:t>日制</w:t>
      </w:r>
      <w:r>
        <w:rPr>
          <w:rFonts w:ascii="仿宋" w:hAnsi="仿宋" w:eastAsia="仿宋" w:cs="Arial"/>
          <w:color w:val="auto"/>
          <w:sz w:val="32"/>
          <w:szCs w:val="32"/>
          <w:shd w:val="clear" w:color="auto" w:fill="FFFFFF"/>
        </w:rPr>
        <w:t>在校学生</w:t>
      </w:r>
      <w:r>
        <w:rPr>
          <w:rFonts w:hint="eastAsia" w:ascii="仿宋" w:hAnsi="仿宋" w:eastAsia="仿宋" w:cs="Arial"/>
          <w:color w:val="auto"/>
          <w:sz w:val="32"/>
          <w:szCs w:val="32"/>
          <w:shd w:val="clear" w:color="auto" w:fill="FFFFFF"/>
          <w:lang w:val="en-US" w:eastAsia="zh-CN"/>
        </w:rPr>
        <w:t>1300余</w:t>
      </w:r>
      <w:r>
        <w:rPr>
          <w:rFonts w:ascii="仿宋" w:hAnsi="仿宋" w:eastAsia="仿宋" w:cs="Arial"/>
          <w:color w:val="auto"/>
          <w:sz w:val="32"/>
          <w:szCs w:val="32"/>
          <w:shd w:val="clear" w:color="auto" w:fill="FFFFFF"/>
        </w:rPr>
        <w:t>名，</w:t>
      </w:r>
      <w:r>
        <w:rPr>
          <w:rFonts w:ascii="仿宋" w:hAnsi="仿宋" w:eastAsia="仿宋" w:cs="Arial"/>
          <w:color w:val="000000"/>
          <w:sz w:val="32"/>
          <w:szCs w:val="32"/>
          <w:shd w:val="clear" w:color="auto" w:fill="FFFFFF"/>
        </w:rPr>
        <w:t>学院高度重视学生科技创新能力和综合素质的培养，建有吉首大学一</w:t>
      </w:r>
      <w:r>
        <w:rPr>
          <w:rFonts w:hint="eastAsia" w:ascii="仿宋" w:hAnsi="仿宋" w:eastAsia="仿宋" w:cs="Arial"/>
          <w:color w:val="000000"/>
          <w:sz w:val="32"/>
          <w:szCs w:val="32"/>
          <w:shd w:val="clear" w:color="auto" w:fill="FFFFFF"/>
        </w:rPr>
        <w:t>长沙达内软件有限公司</w:t>
      </w:r>
      <w:r>
        <w:rPr>
          <w:rFonts w:ascii="仿宋" w:hAnsi="仿宋" w:eastAsia="仿宋" w:cs="Arial"/>
          <w:color w:val="000000"/>
          <w:sz w:val="32"/>
          <w:szCs w:val="32"/>
          <w:shd w:val="clear" w:color="auto" w:fill="FFFFFF"/>
        </w:rPr>
        <w:t>省级</w:t>
      </w:r>
      <w:r>
        <w:rPr>
          <w:rFonts w:hint="eastAsia" w:ascii="仿宋" w:hAnsi="仿宋" w:eastAsia="仿宋" w:cs="Arial"/>
          <w:color w:val="000000"/>
          <w:sz w:val="32"/>
          <w:szCs w:val="32"/>
          <w:shd w:val="clear" w:color="auto" w:fill="FFFFFF"/>
        </w:rPr>
        <w:t>电子信息类专业</w:t>
      </w:r>
      <w:r>
        <w:rPr>
          <w:rFonts w:ascii="仿宋" w:hAnsi="仿宋" w:eastAsia="仿宋" w:cs="Arial"/>
          <w:color w:val="000000"/>
          <w:sz w:val="32"/>
          <w:szCs w:val="32"/>
          <w:shd w:val="clear" w:color="auto" w:fill="FFFFFF"/>
        </w:rPr>
        <w:t>校企</w:t>
      </w:r>
      <w:r>
        <w:rPr>
          <w:rFonts w:hint="eastAsia" w:ascii="仿宋" w:hAnsi="仿宋" w:eastAsia="仿宋" w:cs="Arial"/>
          <w:color w:val="000000"/>
          <w:sz w:val="32"/>
          <w:szCs w:val="32"/>
          <w:shd w:val="clear" w:color="auto" w:fill="FFFFFF"/>
        </w:rPr>
        <w:t>创新创业教育</w:t>
      </w:r>
      <w:r>
        <w:rPr>
          <w:rFonts w:ascii="仿宋" w:hAnsi="仿宋" w:eastAsia="仿宋" w:cs="Arial"/>
          <w:color w:val="000000"/>
          <w:sz w:val="32"/>
          <w:szCs w:val="32"/>
          <w:shd w:val="clear" w:color="auto" w:fill="FFFFFF"/>
        </w:rPr>
        <w:t>示范基地、省优秀实习基地计算机应用技术创新基地、电子电工实践教学基地、计算机实践教学示范中心（学校实践教学示范中心）。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05" w:lineRule="atLeast"/>
        <w:ind w:right="0" w:firstLine="640" w:firstLineChars="200"/>
        <w:jc w:val="both"/>
        <w:rPr>
          <w:rFonts w:ascii="仿宋" w:hAnsi="仿宋" w:eastAsia="仿宋" w:cs="Arial"/>
          <w:color w:val="000000"/>
          <w:kern w:val="0"/>
          <w:sz w:val="32"/>
          <w:szCs w:val="32"/>
          <w:shd w:val="clear" w:color="auto" w:fill="FFFFFF"/>
          <w:lang w:val="en-US" w:eastAsia="zh-CN" w:bidi="ar-SA"/>
        </w:rPr>
      </w:pPr>
      <w:r>
        <w:rPr>
          <w:rFonts w:hint="default" w:ascii="仿宋" w:hAnsi="仿宋" w:eastAsia="仿宋" w:cs="Arial"/>
          <w:color w:val="000000"/>
          <w:kern w:val="0"/>
          <w:sz w:val="32"/>
          <w:szCs w:val="32"/>
          <w:shd w:val="clear" w:color="auto" w:fill="FFFFFF"/>
          <w:lang w:val="en-US" w:eastAsia="zh-CN" w:bidi="ar-SA"/>
        </w:rPr>
        <w:t>近年来，学院学生在国内外顶级大学生学科竞赛中屡创佳绩，学院的ACM团队连续四年在湖南省在大学生程序设计竞赛中获得一等奖，尤其2014年力挫985、211名校，勇摘桂冠，在ACM亚洲区域赛中也多次获得佳绩；学院电子科技团队创造的科技作品连续两年在大学生“挑战杯”这样重要的科技竞赛中荣获湖南省一等奖；2017年，学院学生在全国电子设计竞赛中再获佳绩，获得全国二等奖和湖南省一等奖，在中国高校计算机大赛—网络技术挑战赛全国总决赛中荣获二等奖二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05" w:lineRule="atLeast"/>
        <w:ind w:right="0" w:firstLine="640" w:firstLineChars="200"/>
        <w:jc w:val="both"/>
        <w:rPr>
          <w:rFonts w:ascii="仿宋" w:hAnsi="仿宋" w:eastAsia="仿宋" w:cs="Arial"/>
          <w:color w:val="000000"/>
          <w:kern w:val="0"/>
          <w:sz w:val="32"/>
          <w:szCs w:val="32"/>
          <w:shd w:val="clear" w:color="auto" w:fill="FFFFFF"/>
          <w:lang w:val="en-US" w:eastAsia="zh-CN" w:bidi="ar-SA"/>
        </w:rPr>
      </w:pPr>
      <w:r>
        <w:rPr>
          <w:rFonts w:hint="default" w:ascii="仿宋" w:hAnsi="仿宋" w:eastAsia="仿宋" w:cs="Arial"/>
          <w:color w:val="000000"/>
          <w:kern w:val="0"/>
          <w:sz w:val="32"/>
          <w:szCs w:val="32"/>
          <w:shd w:val="clear" w:color="auto" w:fill="FFFFFF"/>
          <w:lang w:val="en-US" w:eastAsia="zh-CN" w:bidi="ar-SA"/>
        </w:rPr>
        <w:t>我国信息技术和信息产业的高速发展尤其是“互联网+”国家战略的实施，为信息学科的发展提供了良好的发展前景和机遇，学院已培养了一大批高级专门人才，毕业生遍及海内外，不少已成为知名专家、学者和行业骨干。信息科学与工程学院广大师生将继续秉承学校“凤飞千仞、薪传八方”的精神，坚持人才强院、内涵发展的主战略，锐意进取，迎接挑战，为把学院建设成为高素质人才培养基地而努力！</w:t>
      </w:r>
    </w:p>
    <w:p>
      <w:pPr>
        <w:pStyle w:val="28"/>
      </w:pPr>
      <w:r>
        <w:t>窗体底端</w:t>
      </w:r>
    </w:p>
    <w:p>
      <w:pPr>
        <w:pStyle w:val="11"/>
        <w:widowControl/>
        <w:spacing w:before="76" w:line="300" w:lineRule="atLeast"/>
        <w:ind w:left="76"/>
        <w:jc w:val="both"/>
        <w:rPr>
          <w:rFonts w:ascii="仿宋" w:hAnsi="仿宋" w:eastAsia="仿宋"/>
          <w:sz w:val="32"/>
          <w:szCs w:val="32"/>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 xml:space="preserve">        </w:t>
      </w: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hint="eastAsia" w:ascii="仿宋" w:hAnsi="仿宋" w:eastAsia="仿宋" w:cs="Arial"/>
          <w:color w:val="000000"/>
          <w:sz w:val="32"/>
          <w:szCs w:val="32"/>
          <w:shd w:val="clear" w:color="auto" w:fill="FFFFFF"/>
        </w:rPr>
      </w:pPr>
    </w:p>
    <w:p>
      <w:pPr>
        <w:pStyle w:val="11"/>
        <w:widowControl/>
        <w:spacing w:before="76" w:line="300" w:lineRule="atLeast"/>
        <w:ind w:left="76"/>
        <w:jc w:val="both"/>
        <w:rPr>
          <w:rFonts w:ascii="仿宋" w:hAnsi="仿宋" w:eastAsia="仿宋" w:cs="Arial"/>
          <w:color w:val="000000"/>
          <w:sz w:val="32"/>
          <w:szCs w:val="32"/>
          <w:shd w:val="clear" w:color="auto" w:fill="FFFFFF"/>
        </w:rPr>
      </w:pPr>
    </w:p>
    <w:p>
      <w:pPr>
        <w:pStyle w:val="8"/>
        <w:tabs>
          <w:tab w:val="right" w:leader="dot" w:pos="8306"/>
        </w:tabs>
        <w:rPr>
          <w:rFonts w:hint="eastAsia" w:ascii="方正小标宋简体" w:hAnsi="微软雅黑" w:eastAsia="方正小标宋简体"/>
          <w:color w:val="000000"/>
          <w:sz w:val="44"/>
          <w:szCs w:val="44"/>
        </w:rPr>
      </w:pPr>
      <w:bookmarkStart w:id="0" w:name="_Toc10373"/>
      <w:r>
        <w:rPr>
          <w:rFonts w:hint="eastAsia" w:ascii="方正小标宋简体" w:hAnsi="微软雅黑" w:eastAsia="方正小标宋简体"/>
          <w:color w:val="000000"/>
          <w:sz w:val="44"/>
          <w:szCs w:val="44"/>
        </w:rPr>
        <w:t xml:space="preserve">                目   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TOC \o "1-3" \h \u </w:instrText>
      </w:r>
      <w:r>
        <w:fldChar w:fldCharType="separate"/>
      </w:r>
      <w:r>
        <w:fldChar w:fldCharType="begin"/>
      </w:r>
      <w:r>
        <w:instrText xml:space="preserve"> HYPERLINK \l _Toc21158 </w:instrText>
      </w:r>
      <w:r>
        <w:fldChar w:fldCharType="separate"/>
      </w:r>
      <w:r>
        <w:rPr>
          <w:rFonts w:hint="eastAsia"/>
          <w:b/>
          <w:bCs w:val="0"/>
        </w:rPr>
        <w:t>一、毕业生规模和结构</w:t>
      </w:r>
      <w:r>
        <w:tab/>
      </w:r>
      <w:r>
        <w:fldChar w:fldCharType="begin"/>
      </w:r>
      <w:r>
        <w:instrText xml:space="preserve"> PAGEREF _Toc21158 </w:instrText>
      </w:r>
      <w:r>
        <w:fldChar w:fldCharType="separate"/>
      </w:r>
      <w:r>
        <w:t>1</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_Toc10724 </w:instrText>
      </w:r>
      <w:r>
        <w:fldChar w:fldCharType="separate"/>
      </w:r>
      <w:r>
        <w:rPr>
          <w:rFonts w:hint="eastAsia"/>
        </w:rPr>
        <w:t>（一）毕业生的总体规模</w:t>
      </w:r>
      <w:r>
        <w:tab/>
      </w:r>
      <w:r>
        <w:fldChar w:fldCharType="begin"/>
      </w:r>
      <w:r>
        <w:instrText xml:space="preserve"> PAGEREF _Toc10724 </w:instrText>
      </w:r>
      <w:r>
        <w:fldChar w:fldCharType="separate"/>
      </w:r>
      <w:r>
        <w:t>1</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_Toc27037 </w:instrText>
      </w:r>
      <w:r>
        <w:fldChar w:fldCharType="separate"/>
      </w:r>
      <w:r>
        <w:rPr>
          <w:rFonts w:hint="eastAsia"/>
        </w:rPr>
        <w:t>（二）毕业生结构</w:t>
      </w:r>
      <w:r>
        <w:tab/>
      </w:r>
      <w:r>
        <w:fldChar w:fldCharType="begin"/>
      </w:r>
      <w:r>
        <w:instrText xml:space="preserve"> PAGEREF _Toc27037 </w:instrText>
      </w:r>
      <w:r>
        <w:fldChar w:fldCharType="separate"/>
      </w:r>
      <w:r>
        <w:t>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_Toc3399 </w:instrText>
      </w:r>
      <w:r>
        <w:fldChar w:fldCharType="separate"/>
      </w:r>
      <w:r>
        <w:rPr>
          <w:rFonts w:hint="eastAsia"/>
        </w:rPr>
        <w:t>1、性别构成</w:t>
      </w:r>
      <w:r>
        <w:tab/>
      </w:r>
      <w:r>
        <w:fldChar w:fldCharType="begin"/>
      </w:r>
      <w:r>
        <w:instrText xml:space="preserve"> PAGEREF _Toc3399 </w:instrText>
      </w:r>
      <w:r>
        <w:fldChar w:fldCharType="separate"/>
      </w:r>
      <w:r>
        <w:t>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_Toc8245 </w:instrText>
      </w:r>
      <w:r>
        <w:fldChar w:fldCharType="separate"/>
      </w:r>
      <w:r>
        <w:rPr>
          <w:rFonts w:hint="eastAsia"/>
        </w:rPr>
        <w:t>2、城乡生源分布</w:t>
      </w:r>
      <w:r>
        <w:tab/>
      </w:r>
      <w:r>
        <w:fldChar w:fldCharType="begin"/>
      </w:r>
      <w:r>
        <w:instrText xml:space="preserve"> PAGEREF _Toc8245 </w:instrText>
      </w:r>
      <w:r>
        <w:fldChar w:fldCharType="separate"/>
      </w:r>
      <w:r>
        <w:t>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_Toc14937 </w:instrText>
      </w:r>
      <w:r>
        <w:fldChar w:fldCharType="separate"/>
      </w:r>
      <w:r>
        <w:rPr>
          <w:rFonts w:hint="eastAsia"/>
        </w:rPr>
        <w:t>3、生源地分布</w:t>
      </w:r>
      <w:r>
        <w:tab/>
      </w:r>
      <w:r>
        <w:fldChar w:fldCharType="begin"/>
      </w:r>
      <w:r>
        <w:instrText xml:space="preserve"> PAGEREF _Toc14937 </w:instrText>
      </w:r>
      <w:r>
        <w:fldChar w:fldCharType="separate"/>
      </w:r>
      <w:r>
        <w:t>2</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_Toc19733 </w:instrText>
      </w:r>
      <w:r>
        <w:fldChar w:fldCharType="separate"/>
      </w:r>
      <w:r>
        <w:rPr>
          <w:rFonts w:hint="eastAsia"/>
        </w:rPr>
        <w:t>4、少数民族毕业生分布</w:t>
      </w:r>
      <w:r>
        <w:tab/>
      </w:r>
      <w:r>
        <w:fldChar w:fldCharType="begin"/>
      </w:r>
      <w:r>
        <w:instrText xml:space="preserve"> PAGEREF _Toc19733 </w:instrText>
      </w:r>
      <w:r>
        <w:fldChar w:fldCharType="separate"/>
      </w:r>
      <w:r>
        <w:t>2</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_Toc9117 </w:instrText>
      </w:r>
      <w:r>
        <w:fldChar w:fldCharType="separate"/>
      </w:r>
      <w:r>
        <w:rPr>
          <w:rFonts w:hint="eastAsia"/>
        </w:rPr>
        <w:t>5、毕业生各专业分布</w:t>
      </w:r>
      <w:r>
        <w:tab/>
      </w:r>
      <w:r>
        <w:fldChar w:fldCharType="begin"/>
      </w:r>
      <w:r>
        <w:instrText xml:space="preserve"> PAGEREF _Toc9117 </w:instrText>
      </w:r>
      <w:r>
        <w:fldChar w:fldCharType="separate"/>
      </w:r>
      <w:r>
        <w:t>3</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_Toc7490 </w:instrText>
      </w:r>
      <w:r>
        <w:fldChar w:fldCharType="separate"/>
      </w:r>
      <w:r>
        <w:rPr>
          <w:rFonts w:hint="eastAsia"/>
        </w:rPr>
        <w:t>（三）毕业生就业率情况</w:t>
      </w:r>
      <w:r>
        <w:tab/>
      </w:r>
      <w:r>
        <w:fldChar w:fldCharType="begin"/>
      </w:r>
      <w:r>
        <w:instrText xml:space="preserve"> PAGEREF _Toc7490 </w:instrText>
      </w:r>
      <w:r>
        <w:fldChar w:fldCharType="separate"/>
      </w:r>
      <w:r>
        <w:t>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_Toc31818 </w:instrText>
      </w:r>
      <w:r>
        <w:fldChar w:fldCharType="separate"/>
      </w:r>
      <w:r>
        <w:rPr>
          <w:rFonts w:hint="eastAsia"/>
        </w:rPr>
        <w:t>1、毕业生各专业就业率</w:t>
      </w:r>
      <w:r>
        <w:tab/>
      </w:r>
      <w:r>
        <w:fldChar w:fldCharType="begin"/>
      </w:r>
      <w:r>
        <w:instrText xml:space="preserve"> PAGEREF _Toc31818 </w:instrText>
      </w:r>
      <w:r>
        <w:fldChar w:fldCharType="separate"/>
      </w:r>
      <w:r>
        <w:t>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_Toc28727 </w:instrText>
      </w:r>
      <w:r>
        <w:fldChar w:fldCharType="separate"/>
      </w:r>
      <w:r>
        <w:rPr>
          <w:rFonts w:hint="eastAsia"/>
        </w:rPr>
        <w:t>2、毕业生分户口类别就业率</w:t>
      </w:r>
      <w:r>
        <w:tab/>
      </w:r>
      <w:r>
        <w:fldChar w:fldCharType="begin"/>
      </w:r>
      <w:r>
        <w:instrText xml:space="preserve"> PAGEREF _Toc28727 </w:instrText>
      </w:r>
      <w:r>
        <w:fldChar w:fldCharType="separate"/>
      </w:r>
      <w:r>
        <w:t>4</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_Toc17037 </w:instrText>
      </w:r>
      <w:r>
        <w:fldChar w:fldCharType="separate"/>
      </w:r>
      <w:r>
        <w:rPr>
          <w:rFonts w:hint="eastAsia"/>
        </w:rPr>
        <w:t>3、少数民族毕业生就业率</w:t>
      </w:r>
      <w:r>
        <w:tab/>
      </w:r>
      <w:r>
        <w:fldChar w:fldCharType="begin"/>
      </w:r>
      <w:r>
        <w:instrText xml:space="preserve"> PAGEREF _Toc17037 </w:instrText>
      </w:r>
      <w:r>
        <w:fldChar w:fldCharType="separate"/>
      </w:r>
      <w:r>
        <w:t>5</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_Toc23974 </w:instrText>
      </w:r>
      <w:r>
        <w:fldChar w:fldCharType="separate"/>
      </w:r>
      <w:r>
        <w:rPr>
          <w:rFonts w:hint="eastAsia"/>
          <w:lang w:val="en-US" w:eastAsia="zh-CN"/>
        </w:rPr>
        <w:t>4、</w:t>
      </w:r>
      <w:r>
        <w:rPr>
          <w:rFonts w:hint="eastAsia"/>
        </w:rPr>
        <w:t>毕业生分生源地就业率</w:t>
      </w:r>
      <w:r>
        <w:tab/>
      </w:r>
      <w:r>
        <w:fldChar w:fldCharType="begin"/>
      </w:r>
      <w:r>
        <w:instrText xml:space="preserve"> PAGEREF _Toc23974 </w:instrText>
      </w:r>
      <w:r>
        <w:fldChar w:fldCharType="separate"/>
      </w:r>
      <w:r>
        <w:t>5</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_Toc16571 </w:instrText>
      </w:r>
      <w:r>
        <w:fldChar w:fldCharType="separate"/>
      </w:r>
      <w:r>
        <w:rPr>
          <w:rFonts w:hint="eastAsia"/>
        </w:rPr>
        <w:t>（四）毕业生就业去向分布</w:t>
      </w:r>
      <w:r>
        <w:tab/>
      </w:r>
      <w:r>
        <w:fldChar w:fldCharType="begin"/>
      </w:r>
      <w:r>
        <w:instrText xml:space="preserve"> PAGEREF _Toc16571 </w:instrText>
      </w:r>
      <w:r>
        <w:fldChar w:fldCharType="separate"/>
      </w:r>
      <w:r>
        <w:t>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_Toc31310 </w:instrText>
      </w:r>
      <w:r>
        <w:fldChar w:fldCharType="separate"/>
      </w:r>
      <w:r>
        <w:rPr>
          <w:rFonts w:hint="eastAsia" w:ascii="仿宋" w:hAnsi="仿宋" w:eastAsia="仿宋" w:cs="仿宋"/>
          <w:szCs w:val="32"/>
        </w:rPr>
        <w:t>1</w:t>
      </w:r>
      <w:r>
        <w:rPr>
          <w:rFonts w:hint="eastAsia" w:asciiTheme="minorHAnsi" w:hAnsiTheme="minorHAnsi" w:eastAsiaTheme="minorEastAsia" w:cstheme="minorBidi"/>
          <w:b/>
          <w:kern w:val="2"/>
          <w:szCs w:val="24"/>
          <w:lang w:val="en-US" w:eastAsia="zh-CN" w:bidi="ar-SA"/>
        </w:rPr>
        <w:t>、</w:t>
      </w:r>
      <w:r>
        <w:rPr>
          <w:rFonts w:hint="eastAsia" w:asciiTheme="minorHAnsi" w:hAnsiTheme="minorHAnsi" w:eastAsiaTheme="minorEastAsia" w:cstheme="minorBidi"/>
          <w:b w:val="0"/>
          <w:bCs/>
          <w:kern w:val="2"/>
          <w:szCs w:val="24"/>
          <w:lang w:val="en-US" w:eastAsia="zh-CN" w:bidi="ar-SA"/>
        </w:rPr>
        <w:t>就业去向分布</w:t>
      </w:r>
      <w:r>
        <w:tab/>
      </w:r>
      <w:r>
        <w:fldChar w:fldCharType="begin"/>
      </w:r>
      <w:r>
        <w:instrText xml:space="preserve"> PAGEREF _Toc31310 </w:instrText>
      </w:r>
      <w:r>
        <w:fldChar w:fldCharType="separate"/>
      </w:r>
      <w:r>
        <w:t>6</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_Toc25934 </w:instrText>
      </w:r>
      <w:r>
        <w:fldChar w:fldCharType="separate"/>
      </w:r>
      <w:r>
        <w:rPr>
          <w:rFonts w:hint="eastAsia"/>
        </w:rPr>
        <w:t>2、毕业生就业单位性质分布</w:t>
      </w:r>
      <w:r>
        <w:tab/>
      </w:r>
      <w:r>
        <w:fldChar w:fldCharType="begin"/>
      </w:r>
      <w:r>
        <w:instrText xml:space="preserve"> PAGEREF _Toc25934 </w:instrText>
      </w:r>
      <w:r>
        <w:fldChar w:fldCharType="separate"/>
      </w:r>
      <w:r>
        <w:t>6</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_Toc23699 </w:instrText>
      </w:r>
      <w:r>
        <w:fldChar w:fldCharType="separate"/>
      </w:r>
      <w:r>
        <w:rPr>
          <w:rFonts w:hint="eastAsia"/>
        </w:rPr>
        <w:t>（五）毕业生地域流向</w:t>
      </w:r>
      <w:r>
        <w:tab/>
      </w:r>
      <w:r>
        <w:fldChar w:fldCharType="begin"/>
      </w:r>
      <w:r>
        <w:instrText xml:space="preserve"> PAGEREF _Toc23699 </w:instrText>
      </w:r>
      <w:r>
        <w:fldChar w:fldCharType="separate"/>
      </w:r>
      <w:r>
        <w:t>7</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_Toc4007 </w:instrText>
      </w:r>
      <w:r>
        <w:fldChar w:fldCharType="separate"/>
      </w:r>
      <w:r>
        <w:rPr>
          <w:rFonts w:hint="eastAsia"/>
          <w:b/>
          <w:bCs w:val="0"/>
          <w:lang w:eastAsia="zh-CN"/>
        </w:rPr>
        <w:t>二、</w:t>
      </w:r>
      <w:r>
        <w:rPr>
          <w:rFonts w:hint="eastAsia"/>
          <w:b/>
          <w:bCs w:val="0"/>
        </w:rPr>
        <w:t>毕业生就业情况分析</w:t>
      </w:r>
      <w:r>
        <w:tab/>
      </w:r>
      <w:r>
        <w:fldChar w:fldCharType="begin"/>
      </w:r>
      <w:r>
        <w:instrText xml:space="preserve"> PAGEREF _Toc4007 </w:instrText>
      </w:r>
      <w:r>
        <w:fldChar w:fldCharType="separate"/>
      </w:r>
      <w:r>
        <w:t>7</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_Toc9908 </w:instrText>
      </w:r>
      <w:r>
        <w:fldChar w:fldCharType="separate"/>
      </w:r>
      <w:r>
        <w:rPr>
          <w:rFonts w:hint="eastAsia"/>
        </w:rPr>
        <w:t>（一）用人单位问卷调查情况</w:t>
      </w:r>
      <w:r>
        <w:tab/>
      </w:r>
      <w:r>
        <w:fldChar w:fldCharType="begin"/>
      </w:r>
      <w:r>
        <w:instrText xml:space="preserve"> PAGEREF _Toc9908 </w:instrText>
      </w:r>
      <w:r>
        <w:fldChar w:fldCharType="separate"/>
      </w:r>
      <w:r>
        <w:t>7</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_Toc8160 </w:instrText>
      </w:r>
      <w:r>
        <w:fldChar w:fldCharType="separate"/>
      </w:r>
      <w:r>
        <w:rPr>
          <w:rFonts w:hint="eastAsia"/>
        </w:rPr>
        <w:t>1、抽样调查的单位分布</w:t>
      </w:r>
      <w:r>
        <w:tab/>
      </w:r>
      <w:r>
        <w:fldChar w:fldCharType="begin"/>
      </w:r>
      <w:r>
        <w:instrText xml:space="preserve"> PAGEREF _Toc8160 </w:instrText>
      </w:r>
      <w:r>
        <w:fldChar w:fldCharType="separate"/>
      </w:r>
      <w:r>
        <w:t>8</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_Toc19412 </w:instrText>
      </w:r>
      <w:r>
        <w:fldChar w:fldCharType="separate"/>
      </w:r>
      <w:r>
        <w:rPr>
          <w:rFonts w:hint="eastAsia"/>
        </w:rPr>
        <w:t>2、用人单位对我</w:t>
      </w:r>
      <w:r>
        <w:rPr>
          <w:rFonts w:hint="eastAsia"/>
          <w:lang w:eastAsia="zh-CN"/>
        </w:rPr>
        <w:t>院</w:t>
      </w:r>
      <w:r>
        <w:rPr>
          <w:rFonts w:hint="eastAsia"/>
        </w:rPr>
        <w:t>毕业生综合素质的评价</w:t>
      </w:r>
      <w:r>
        <w:tab/>
      </w:r>
      <w:r>
        <w:fldChar w:fldCharType="begin"/>
      </w:r>
      <w:r>
        <w:instrText xml:space="preserve"> PAGEREF _Toc19412 </w:instrText>
      </w:r>
      <w:r>
        <w:fldChar w:fldCharType="separate"/>
      </w:r>
      <w:r>
        <w:t>8</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_Toc19002 </w:instrText>
      </w:r>
      <w:r>
        <w:fldChar w:fldCharType="separate"/>
      </w:r>
      <w:r>
        <w:rPr>
          <w:rFonts w:hint="eastAsia"/>
        </w:rPr>
        <w:t>3、用人单位对我</w:t>
      </w:r>
      <w:r>
        <w:rPr>
          <w:rFonts w:hint="eastAsia"/>
          <w:lang w:eastAsia="zh-CN"/>
        </w:rPr>
        <w:t>院</w:t>
      </w:r>
      <w:r>
        <w:rPr>
          <w:rFonts w:hint="eastAsia"/>
        </w:rPr>
        <w:t>就业指导服务工作的评价</w:t>
      </w:r>
      <w:r>
        <w:tab/>
      </w:r>
      <w:r>
        <w:fldChar w:fldCharType="begin"/>
      </w:r>
      <w:r>
        <w:instrText xml:space="preserve"> PAGEREF _Toc19002 </w:instrText>
      </w:r>
      <w:r>
        <w:fldChar w:fldCharType="separate"/>
      </w:r>
      <w:r>
        <w:t>9</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_Toc11831 </w:instrText>
      </w:r>
      <w:r>
        <w:fldChar w:fldCharType="separate"/>
      </w:r>
      <w:r>
        <w:rPr>
          <w:rFonts w:hint="eastAsia"/>
        </w:rPr>
        <w:t>（二）抽样调查的毕业生就业情况</w:t>
      </w:r>
      <w:r>
        <w:tab/>
      </w:r>
      <w:r>
        <w:fldChar w:fldCharType="begin"/>
      </w:r>
      <w:r>
        <w:instrText xml:space="preserve"> PAGEREF _Toc11831 </w:instrText>
      </w:r>
      <w:r>
        <w:fldChar w:fldCharType="separate"/>
      </w:r>
      <w:r>
        <w:t>10</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_Toc29414 </w:instrText>
      </w:r>
      <w:r>
        <w:fldChar w:fldCharType="separate"/>
      </w:r>
      <w:r>
        <w:rPr>
          <w:rFonts w:hint="eastAsia"/>
        </w:rPr>
        <w:t>1、就业单位性质分布</w:t>
      </w:r>
      <w:r>
        <w:tab/>
      </w:r>
      <w:r>
        <w:fldChar w:fldCharType="begin"/>
      </w:r>
      <w:r>
        <w:instrText xml:space="preserve"> PAGEREF _Toc29414 </w:instrText>
      </w:r>
      <w:r>
        <w:fldChar w:fldCharType="separate"/>
      </w:r>
      <w:r>
        <w:t>10</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_Toc26710 </w:instrText>
      </w:r>
      <w:r>
        <w:fldChar w:fldCharType="separate"/>
      </w:r>
      <w:r>
        <w:rPr>
          <w:rFonts w:hint="eastAsia"/>
        </w:rPr>
        <w:t>2、毕业生月收入分布</w:t>
      </w:r>
      <w:r>
        <w:tab/>
      </w:r>
      <w:r>
        <w:fldChar w:fldCharType="begin"/>
      </w:r>
      <w:r>
        <w:instrText xml:space="preserve"> PAGEREF _Toc26710 </w:instrText>
      </w:r>
      <w:r>
        <w:fldChar w:fldCharType="separate"/>
      </w:r>
      <w:r>
        <w:t>10</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_Toc15680 </w:instrText>
      </w:r>
      <w:r>
        <w:fldChar w:fldCharType="separate"/>
      </w:r>
      <w:r>
        <w:rPr>
          <w:rFonts w:hint="eastAsia"/>
          <w:lang w:val="en-US" w:eastAsia="zh-CN"/>
        </w:rPr>
        <w:t>3、毕业生对目前工作的评价</w:t>
      </w:r>
      <w:r>
        <w:tab/>
      </w:r>
      <w:r>
        <w:fldChar w:fldCharType="begin"/>
      </w:r>
      <w:r>
        <w:instrText xml:space="preserve"> PAGEREF _Toc15680 </w:instrText>
      </w:r>
      <w:r>
        <w:fldChar w:fldCharType="separate"/>
      </w:r>
      <w:r>
        <w:t>11</w:t>
      </w:r>
      <w:r>
        <w:fldChar w:fldCharType="end"/>
      </w:r>
      <w: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_Toc24513 </w:instrText>
      </w:r>
      <w:r>
        <w:fldChar w:fldCharType="separate"/>
      </w:r>
      <w:r>
        <w:rPr>
          <w:rFonts w:hint="eastAsia"/>
          <w:lang w:val="en-US" w:eastAsia="zh-CN"/>
        </w:rPr>
        <w:t>4、毕业生对学校就业工作的评价</w:t>
      </w:r>
      <w:r>
        <w:tab/>
      </w:r>
      <w:r>
        <w:fldChar w:fldCharType="begin"/>
      </w:r>
      <w:r>
        <w:instrText xml:space="preserve"> PAGEREF _Toc24513 </w:instrText>
      </w:r>
      <w:r>
        <w:fldChar w:fldCharType="separate"/>
      </w:r>
      <w:r>
        <w:t>11</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_Toc4531 </w:instrText>
      </w:r>
      <w:r>
        <w:fldChar w:fldCharType="separate"/>
      </w:r>
      <w:r>
        <w:rPr>
          <w:rFonts w:hint="eastAsia"/>
          <w:b/>
          <w:bCs/>
          <w:lang w:eastAsia="zh-CN"/>
        </w:rPr>
        <w:t>三、</w:t>
      </w:r>
      <w:r>
        <w:rPr>
          <w:rFonts w:hint="eastAsia"/>
          <w:b/>
          <w:bCs/>
        </w:rPr>
        <w:t>毕业生就业趋势变化</w:t>
      </w:r>
      <w:r>
        <w:tab/>
      </w:r>
      <w:r>
        <w:fldChar w:fldCharType="begin"/>
      </w:r>
      <w:r>
        <w:instrText xml:space="preserve"> PAGEREF _Toc4531 </w:instrText>
      </w:r>
      <w:r>
        <w:fldChar w:fldCharType="separate"/>
      </w:r>
      <w:r>
        <w:t>12</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_Toc30696 </w:instrText>
      </w:r>
      <w:r>
        <w:fldChar w:fldCharType="separate"/>
      </w:r>
      <w:r>
        <w:rPr>
          <w:rFonts w:hint="eastAsia"/>
        </w:rPr>
        <w:t>（一）毕业生就业单位性质对比分析</w:t>
      </w:r>
      <w:r>
        <w:tab/>
      </w:r>
      <w:r>
        <w:fldChar w:fldCharType="begin"/>
      </w:r>
      <w:r>
        <w:instrText xml:space="preserve"> PAGEREF _Toc30696 </w:instrText>
      </w:r>
      <w:r>
        <w:fldChar w:fldCharType="separate"/>
      </w:r>
      <w:r>
        <w:t>12</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_Toc14300 </w:instrText>
      </w:r>
      <w:r>
        <w:fldChar w:fldCharType="separate"/>
      </w:r>
      <w:r>
        <w:rPr>
          <w:rFonts w:hint="eastAsia"/>
        </w:rPr>
        <w:t>（二）毕业生就业区域流向趋势变化</w:t>
      </w:r>
      <w:r>
        <w:tab/>
      </w:r>
      <w:r>
        <w:fldChar w:fldCharType="begin"/>
      </w:r>
      <w:r>
        <w:instrText xml:space="preserve"> PAGEREF _Toc14300 </w:instrText>
      </w:r>
      <w:r>
        <w:fldChar w:fldCharType="separate"/>
      </w:r>
      <w:r>
        <w:t>12</w:t>
      </w:r>
      <w:r>
        <w:fldChar w:fldCharType="end"/>
      </w:r>
      <w: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_Toc11321 </w:instrText>
      </w:r>
      <w:r>
        <w:fldChar w:fldCharType="separate"/>
      </w:r>
      <w:r>
        <w:rPr>
          <w:rFonts w:hint="eastAsia"/>
          <w:b/>
          <w:bCs/>
          <w:lang w:eastAsia="zh-CN"/>
        </w:rPr>
        <w:t>四</w:t>
      </w:r>
      <w:r>
        <w:rPr>
          <w:rFonts w:hint="eastAsia"/>
          <w:b/>
          <w:bCs/>
        </w:rPr>
        <w:t>、 我院毕业生就业工作的主要特点</w:t>
      </w:r>
      <w:r>
        <w:tab/>
      </w:r>
      <w:r>
        <w:fldChar w:fldCharType="begin"/>
      </w:r>
      <w:r>
        <w:instrText xml:space="preserve"> PAGEREF _Toc11321 </w:instrText>
      </w:r>
      <w:r>
        <w:fldChar w:fldCharType="separate"/>
      </w:r>
      <w:r>
        <w:t>13</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_Toc20135 </w:instrText>
      </w:r>
      <w:r>
        <w:fldChar w:fldCharType="separate"/>
      </w:r>
      <w:r>
        <w:rPr>
          <w:rFonts w:hint="eastAsia"/>
        </w:rPr>
        <w:t>（一）建立健全管理机制，强化就业创业工作队伍建设</w:t>
      </w:r>
      <w:r>
        <w:tab/>
      </w:r>
      <w:r>
        <w:fldChar w:fldCharType="begin"/>
      </w:r>
      <w:r>
        <w:instrText xml:space="preserve"> PAGEREF _Toc20135 </w:instrText>
      </w:r>
      <w:r>
        <w:fldChar w:fldCharType="separate"/>
      </w:r>
      <w:r>
        <w:t>13</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_Toc21567 </w:instrText>
      </w:r>
      <w:r>
        <w:fldChar w:fldCharType="separate"/>
      </w:r>
      <w:r>
        <w:rPr>
          <w:rFonts w:hint="eastAsia"/>
        </w:rPr>
        <w:t>（二）创新人才培养模式，提</w:t>
      </w:r>
      <w:r>
        <w:rPr>
          <w:rFonts w:hint="eastAsia"/>
          <w:lang w:eastAsia="zh-CN"/>
        </w:rPr>
        <w:t>供</w:t>
      </w:r>
      <w:r>
        <w:rPr>
          <w:rFonts w:hint="eastAsia"/>
        </w:rPr>
        <w:t>优质高效就业创业服务</w:t>
      </w:r>
      <w:r>
        <w:tab/>
      </w:r>
      <w:r>
        <w:fldChar w:fldCharType="begin"/>
      </w:r>
      <w:r>
        <w:instrText xml:space="preserve"> PAGEREF _Toc21567 </w:instrText>
      </w:r>
      <w:r>
        <w:fldChar w:fldCharType="separate"/>
      </w:r>
      <w:r>
        <w:t>15</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_Toc31357 </w:instrText>
      </w:r>
      <w:r>
        <w:fldChar w:fldCharType="separate"/>
      </w:r>
      <w:r>
        <w:rPr>
          <w:rFonts w:hint="eastAsia"/>
        </w:rPr>
        <w:t>（三）推进就业创业指导，构建完善的职业发展与就业创业教育体系</w:t>
      </w:r>
      <w:r>
        <w:tab/>
      </w:r>
      <w:r>
        <w:fldChar w:fldCharType="begin"/>
      </w:r>
      <w:r>
        <w:instrText xml:space="preserve"> PAGEREF _Toc31357 </w:instrText>
      </w:r>
      <w:r>
        <w:fldChar w:fldCharType="separate"/>
      </w:r>
      <w:r>
        <w:t>17</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_Toc10660 </w:instrText>
      </w:r>
      <w:r>
        <w:fldChar w:fldCharType="separate"/>
      </w:r>
      <w:r>
        <w:rPr>
          <w:rFonts w:hint="eastAsia"/>
        </w:rPr>
        <w:t>（四）搭建学科竞赛平台，提升学生创新创业能力</w:t>
      </w:r>
      <w:r>
        <w:tab/>
      </w:r>
      <w:r>
        <w:fldChar w:fldCharType="begin"/>
      </w:r>
      <w:r>
        <w:instrText xml:space="preserve"> PAGEREF _Toc10660 </w:instrText>
      </w:r>
      <w:r>
        <w:fldChar w:fldCharType="separate"/>
      </w:r>
      <w:r>
        <w:t>19</w:t>
      </w:r>
      <w:r>
        <w:fldChar w:fldCharType="end"/>
      </w:r>
      <w: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begin"/>
      </w:r>
      <w:r>
        <w:instrText xml:space="preserve"> HYPERLINK \l _Toc8636 </w:instrText>
      </w:r>
      <w:r>
        <w:fldChar w:fldCharType="separate"/>
      </w:r>
      <w:r>
        <w:rPr>
          <w:rFonts w:hint="eastAsia"/>
        </w:rPr>
        <w:t>（五）建立就业反馈机制，不断优化人才培养</w:t>
      </w:r>
      <w:r>
        <w:tab/>
      </w:r>
      <w:r>
        <w:fldChar w:fldCharType="begin"/>
      </w:r>
      <w:r>
        <w:instrText xml:space="preserve"> PAGEREF _Toc8636 </w:instrText>
      </w:r>
      <w:r>
        <w:fldChar w:fldCharType="separate"/>
      </w:r>
      <w:r>
        <w:t>20</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480" w:lineRule="auto"/>
        <w:ind w:right="0" w:rightChars="0" w:firstLine="0" w:firstLineChars="0"/>
        <w:jc w:val="both"/>
        <w:textAlignment w:val="auto"/>
        <w:outlineLvl w:val="9"/>
      </w:pPr>
      <w:r>
        <w:fldChar w:fldCharType="end"/>
      </w:r>
    </w:p>
    <w:p>
      <w:pPr>
        <w:rPr>
          <w:rFonts w:ascii="仿宋" w:hAnsi="仿宋" w:eastAsia="仿宋" w:cs="仿宋"/>
          <w:b/>
          <w:bCs/>
          <w:color w:val="000000"/>
          <w:kern w:val="0"/>
          <w:sz w:val="32"/>
          <w:szCs w:val="32"/>
          <w:shd w:val="clear" w:color="auto" w:fill="FFFFFF"/>
        </w:rPr>
      </w:pPr>
    </w:p>
    <w:p>
      <w:pPr>
        <w:pStyle w:val="2"/>
        <w:rPr>
          <w:rFonts w:hint="eastAsia"/>
          <w:b/>
          <w:bCs w:val="0"/>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rPr>
          <w:b/>
          <w:bCs w:val="0"/>
        </w:rPr>
      </w:pPr>
      <w:bookmarkStart w:id="1" w:name="_Toc32739"/>
      <w:bookmarkStart w:id="2" w:name="_Toc21158"/>
      <w:bookmarkStart w:id="3" w:name="_Toc27140"/>
      <w:r>
        <w:rPr>
          <w:rFonts w:hint="eastAsia"/>
          <w:b/>
          <w:bCs w:val="0"/>
        </w:rPr>
        <w:t>一、毕业生规模和结构</w:t>
      </w:r>
      <w:bookmarkEnd w:id="0"/>
      <w:bookmarkEnd w:id="1"/>
      <w:bookmarkEnd w:id="2"/>
      <w:bookmarkEnd w:id="3"/>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4" w:name="_Toc32614"/>
      <w:bookmarkStart w:id="5" w:name="_Toc29026"/>
      <w:bookmarkStart w:id="6" w:name="_Toc10724"/>
      <w:bookmarkStart w:id="7" w:name="_Toc29945"/>
      <w:r>
        <w:rPr>
          <w:rFonts w:hint="eastAsia"/>
        </w:rPr>
        <w:t>（一）毕业生的总体规模</w:t>
      </w:r>
      <w:bookmarkEnd w:id="4"/>
      <w:bookmarkEnd w:id="5"/>
      <w:bookmarkEnd w:id="6"/>
      <w:bookmarkEnd w:id="7"/>
    </w:p>
    <w:p>
      <w:pPr>
        <w:spacing w:line="520" w:lineRule="exact"/>
        <w:ind w:firstLine="540"/>
        <w:rPr>
          <w:rFonts w:ascii="仿宋" w:hAnsi="仿宋" w:eastAsia="仿宋" w:cs="仿宋"/>
          <w:sz w:val="32"/>
          <w:szCs w:val="32"/>
        </w:rPr>
      </w:pPr>
      <w:r>
        <w:rPr>
          <w:rFonts w:hint="eastAsia" w:ascii="仿宋" w:hAnsi="仿宋" w:eastAsia="仿宋" w:cs="仿宋"/>
          <w:sz w:val="32"/>
          <w:szCs w:val="32"/>
        </w:rPr>
        <w:t>我院201</w:t>
      </w:r>
      <w:r>
        <w:rPr>
          <w:rFonts w:hint="eastAsia" w:ascii="仿宋" w:hAnsi="仿宋" w:eastAsia="仿宋" w:cs="仿宋"/>
          <w:sz w:val="32"/>
          <w:szCs w:val="32"/>
          <w:lang w:val="en-US" w:eastAsia="zh-CN"/>
        </w:rPr>
        <w:t>7</w:t>
      </w:r>
      <w:r>
        <w:rPr>
          <w:rFonts w:hint="eastAsia" w:ascii="仿宋" w:hAnsi="仿宋" w:eastAsia="仿宋" w:cs="仿宋"/>
          <w:sz w:val="32"/>
          <w:szCs w:val="32"/>
        </w:rPr>
        <w:t>届毕业生共有</w:t>
      </w:r>
      <w:r>
        <w:rPr>
          <w:rFonts w:hint="eastAsia" w:ascii="仿宋" w:hAnsi="仿宋" w:eastAsia="仿宋" w:cs="仿宋"/>
          <w:sz w:val="32"/>
          <w:szCs w:val="32"/>
          <w:lang w:val="en-US" w:eastAsia="zh-CN"/>
        </w:rPr>
        <w:t>370</w:t>
      </w:r>
      <w:r>
        <w:rPr>
          <w:rFonts w:hint="eastAsia" w:ascii="仿宋" w:hAnsi="仿宋" w:eastAsia="仿宋" w:cs="仿宋"/>
          <w:sz w:val="32"/>
          <w:szCs w:val="32"/>
        </w:rPr>
        <w:t>人，</w:t>
      </w:r>
      <w:r>
        <w:rPr>
          <w:rFonts w:hint="eastAsia" w:ascii="仿宋" w:hAnsi="仿宋" w:eastAsia="仿宋" w:cs="仿宋"/>
          <w:color w:val="auto"/>
          <w:sz w:val="32"/>
          <w:szCs w:val="32"/>
          <w:shd w:val="clear" w:color="auto" w:fill="auto"/>
          <w:lang w:eastAsia="zh-CN"/>
        </w:rPr>
        <w:t>涵盖</w:t>
      </w:r>
      <w:r>
        <w:rPr>
          <w:rFonts w:hint="eastAsia" w:ascii="仿宋" w:hAnsi="仿宋" w:eastAsia="仿宋" w:cs="仿宋"/>
          <w:sz w:val="32"/>
          <w:szCs w:val="32"/>
        </w:rPr>
        <w:t>通信工程、电子信息工程、网络工程、计算机科学与技术</w:t>
      </w:r>
      <w:r>
        <w:rPr>
          <w:rFonts w:hint="eastAsia" w:ascii="仿宋" w:hAnsi="仿宋" w:eastAsia="仿宋" w:cs="仿宋"/>
          <w:sz w:val="32"/>
          <w:szCs w:val="32"/>
          <w:lang w:eastAsia="zh-CN"/>
        </w:rPr>
        <w:t>、电气工程及其自动化</w:t>
      </w:r>
      <w:r>
        <w:rPr>
          <w:rFonts w:hint="eastAsia" w:ascii="仿宋" w:hAnsi="仿宋" w:eastAsia="仿宋" w:cs="仿宋"/>
          <w:sz w:val="32"/>
          <w:szCs w:val="32"/>
        </w:rPr>
        <w:t>等</w:t>
      </w:r>
      <w:r>
        <w:rPr>
          <w:rFonts w:hint="eastAsia" w:ascii="仿宋" w:hAnsi="仿宋" w:eastAsia="仿宋" w:cs="仿宋"/>
          <w:sz w:val="32"/>
          <w:szCs w:val="32"/>
          <w:lang w:val="en-US" w:eastAsia="zh-CN"/>
        </w:rPr>
        <w:t>5</w:t>
      </w:r>
      <w:r>
        <w:rPr>
          <w:rFonts w:hint="eastAsia" w:ascii="仿宋" w:hAnsi="仿宋" w:eastAsia="仿宋" w:cs="仿宋"/>
          <w:sz w:val="32"/>
          <w:szCs w:val="32"/>
        </w:rPr>
        <w:t>个专业。</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8" w:name="_Toc31712"/>
      <w:bookmarkStart w:id="9" w:name="_Toc11047"/>
      <w:bookmarkStart w:id="10" w:name="_Toc27037"/>
      <w:bookmarkStart w:id="11" w:name="_Toc26265"/>
      <w:r>
        <w:rPr>
          <w:rFonts w:hint="eastAsia"/>
        </w:rPr>
        <w:t>（二）毕业生结构</w:t>
      </w:r>
      <w:bookmarkEnd w:id="8"/>
      <w:bookmarkEnd w:id="9"/>
      <w:bookmarkEnd w:id="10"/>
      <w:bookmarkEnd w:id="11"/>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ascii="仿宋" w:hAnsi="仿宋" w:eastAsia="仿宋" w:cs="仿宋"/>
          <w:szCs w:val="32"/>
        </w:rPr>
      </w:pPr>
      <w:bookmarkStart w:id="12" w:name="_Toc3399"/>
      <w:bookmarkStart w:id="13" w:name="_Toc27972"/>
      <w:bookmarkStart w:id="14" w:name="_Toc20159"/>
      <w:bookmarkStart w:id="15" w:name="_Toc20348"/>
      <w:r>
        <w:rPr>
          <w:rFonts w:hint="eastAsia"/>
        </w:rPr>
        <w:t>1、性别构成</w:t>
      </w:r>
      <w:bookmarkEnd w:id="12"/>
      <w:bookmarkEnd w:id="13"/>
      <w:bookmarkEnd w:id="14"/>
      <w:bookmarkEnd w:id="15"/>
    </w:p>
    <w:p>
      <w:pPr>
        <w:spacing w:line="520" w:lineRule="exact"/>
        <w:ind w:firstLine="540"/>
        <w:rPr>
          <w:rFonts w:ascii="仿宋" w:hAnsi="仿宋" w:eastAsia="仿宋" w:cs="仿宋"/>
          <w:sz w:val="32"/>
          <w:szCs w:val="32"/>
        </w:rPr>
      </w:pPr>
      <w:r>
        <w:rPr>
          <w:rFonts w:hint="eastAsia" w:ascii="仿宋" w:hAnsi="仿宋" w:eastAsia="仿宋" w:cs="仿宋"/>
          <w:sz w:val="32"/>
          <w:szCs w:val="32"/>
        </w:rPr>
        <w:t>男生</w:t>
      </w:r>
      <w:r>
        <w:rPr>
          <w:rFonts w:hint="eastAsia" w:ascii="仿宋" w:hAnsi="仿宋" w:eastAsia="仿宋" w:cs="仿宋"/>
          <w:sz w:val="32"/>
          <w:szCs w:val="32"/>
          <w:lang w:val="en-US" w:eastAsia="zh-CN"/>
        </w:rPr>
        <w:t>287</w:t>
      </w:r>
      <w:r>
        <w:rPr>
          <w:rFonts w:hint="eastAsia" w:ascii="仿宋" w:hAnsi="仿宋" w:eastAsia="仿宋" w:cs="仿宋"/>
          <w:sz w:val="32"/>
          <w:szCs w:val="32"/>
        </w:rPr>
        <w:t>人，占毕业生总人数的</w:t>
      </w:r>
      <w:r>
        <w:rPr>
          <w:rFonts w:hint="eastAsia" w:ascii="仿宋" w:hAnsi="仿宋" w:eastAsia="仿宋" w:cs="仿宋"/>
          <w:sz w:val="32"/>
          <w:szCs w:val="32"/>
          <w:lang w:val="en-US" w:eastAsia="zh-CN"/>
        </w:rPr>
        <w:t>77.57</w:t>
      </w:r>
      <w:r>
        <w:rPr>
          <w:rFonts w:hint="eastAsia" w:ascii="仿宋" w:hAnsi="仿宋" w:eastAsia="仿宋" w:cs="仿宋"/>
          <w:sz w:val="32"/>
          <w:szCs w:val="32"/>
        </w:rPr>
        <w:t>%；女生</w:t>
      </w:r>
      <w:r>
        <w:rPr>
          <w:rFonts w:hint="eastAsia" w:ascii="仿宋" w:hAnsi="仿宋" w:eastAsia="仿宋" w:cs="仿宋"/>
          <w:sz w:val="32"/>
          <w:szCs w:val="32"/>
          <w:lang w:val="en-US" w:eastAsia="zh-CN"/>
        </w:rPr>
        <w:t>83</w:t>
      </w:r>
      <w:r>
        <w:rPr>
          <w:rFonts w:hint="eastAsia" w:ascii="仿宋" w:hAnsi="仿宋" w:eastAsia="仿宋" w:cs="仿宋"/>
          <w:sz w:val="32"/>
          <w:szCs w:val="32"/>
        </w:rPr>
        <w:t>人，占</w:t>
      </w:r>
      <w:r>
        <w:rPr>
          <w:rFonts w:hint="eastAsia" w:ascii="仿宋" w:hAnsi="仿宋" w:eastAsia="仿宋" w:cs="仿宋"/>
          <w:sz w:val="32"/>
          <w:szCs w:val="32"/>
          <w:lang w:val="en-US" w:eastAsia="zh-CN"/>
        </w:rPr>
        <w:t>22.43</w:t>
      </w:r>
      <w:r>
        <w:rPr>
          <w:rFonts w:hint="eastAsia" w:ascii="仿宋" w:hAnsi="仿宋" w:eastAsia="仿宋" w:cs="仿宋"/>
          <w:sz w:val="32"/>
          <w:szCs w:val="32"/>
        </w:rPr>
        <w:t>%。</w:t>
      </w:r>
    </w:p>
    <w:p>
      <w:pPr>
        <w:spacing w:line="520" w:lineRule="exact"/>
        <w:rPr>
          <w:rFonts w:hint="eastAsia" w:ascii="仿宋" w:hAnsi="仿宋" w:eastAsia="仿宋" w:cs="仿宋"/>
          <w:sz w:val="32"/>
          <w:szCs w:val="32"/>
        </w:rPr>
      </w:pPr>
      <w:r>
        <w:rPr>
          <w:rFonts w:hint="eastAsia" w:ascii="仿宋" w:hAnsi="仿宋" w:eastAsia="仿宋" w:cs="仿宋"/>
          <w:sz w:val="32"/>
          <w:szCs w:val="32"/>
        </w:rPr>
        <w:t>男女比例为</w:t>
      </w:r>
      <w:r>
        <w:rPr>
          <w:rFonts w:hint="eastAsia" w:ascii="仿宋" w:hAnsi="仿宋" w:eastAsia="仿宋" w:cs="仿宋"/>
          <w:sz w:val="32"/>
          <w:szCs w:val="32"/>
          <w:lang w:val="en-US" w:eastAsia="zh-CN"/>
        </w:rPr>
        <w:t>3.45</w:t>
      </w:r>
      <w:r>
        <w:rPr>
          <w:rFonts w:hint="eastAsia" w:ascii="仿宋" w:hAnsi="仿宋" w:eastAsia="仿宋" w:cs="仿宋"/>
          <w:sz w:val="32"/>
          <w:szCs w:val="32"/>
        </w:rPr>
        <w:t>:1。</w:t>
      </w:r>
    </w:p>
    <w:p>
      <w:pPr>
        <w:tabs>
          <w:tab w:val="left" w:pos="1584"/>
        </w:tabs>
        <w:rPr>
          <w:rFonts w:hint="eastAsia" w:ascii="仿宋" w:hAnsi="仿宋" w:eastAsia="仿宋" w:cs="仿宋"/>
          <w:sz w:val="32"/>
          <w:szCs w:val="32"/>
          <w:lang w:eastAsia="zh-CN"/>
        </w:rPr>
      </w:pPr>
      <w:bookmarkStart w:id="16" w:name="_Toc20113"/>
      <w:bookmarkStart w:id="17" w:name="_Toc21354"/>
      <w:bookmarkStart w:id="18" w:name="_Toc15933"/>
      <w:bookmarkStart w:id="19" w:name="_Toc8245"/>
      <w:r>
        <w:rPr>
          <w:rFonts w:hint="eastAsia" w:ascii="仿宋" w:hAnsi="仿宋" w:eastAsia="仿宋" w:cs="仿宋"/>
          <w:sz w:val="32"/>
          <w:szCs w:val="32"/>
          <w:lang w:eastAsia="zh-CN"/>
        </w:rPr>
        <w:drawing>
          <wp:inline distT="0" distB="0" distL="114300" distR="114300">
            <wp:extent cx="5365750" cy="2105025"/>
            <wp:effectExtent l="5080" t="4445" r="20320"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r>
        <w:rPr>
          <w:rFonts w:hint="eastAsia"/>
        </w:rPr>
        <w:t>2、城乡生源分布</w:t>
      </w:r>
      <w:bookmarkEnd w:id="16"/>
      <w:bookmarkEnd w:id="17"/>
      <w:bookmarkEnd w:id="18"/>
      <w:bookmarkEnd w:id="19"/>
    </w:p>
    <w:p>
      <w:pPr>
        <w:ind w:firstLine="560"/>
        <w:rPr>
          <w:sz w:val="28"/>
          <w:szCs w:val="28"/>
        </w:rPr>
      </w:pPr>
      <w:r>
        <w:rPr>
          <w:rFonts w:hint="eastAsia" w:ascii="仿宋" w:hAnsi="仿宋" w:eastAsia="仿宋" w:cs="仿宋"/>
          <w:sz w:val="32"/>
          <w:szCs w:val="32"/>
        </w:rPr>
        <w:drawing>
          <wp:anchor distT="0" distB="0" distL="114300" distR="114300" simplePos="0" relativeHeight="251660288" behindDoc="1" locked="0" layoutInCell="1" allowOverlap="1">
            <wp:simplePos x="0" y="0"/>
            <wp:positionH relativeFrom="column">
              <wp:posOffset>24765</wp:posOffset>
            </wp:positionH>
            <wp:positionV relativeFrom="paragraph">
              <wp:posOffset>753745</wp:posOffset>
            </wp:positionV>
            <wp:extent cx="5243830" cy="2019935"/>
            <wp:effectExtent l="4445" t="4445" r="9525" b="13970"/>
            <wp:wrapTight wrapText="bothSides">
              <wp:wrapPolygon>
                <wp:start x="-18" y="-48"/>
                <wp:lineTo x="-18" y="21546"/>
                <wp:lineTo x="21561" y="21546"/>
                <wp:lineTo x="21561" y="-48"/>
                <wp:lineTo x="-18" y="-48"/>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sz w:val="32"/>
          <w:szCs w:val="32"/>
        </w:rPr>
        <w:t>城镇户口毕业生为</w:t>
      </w:r>
      <w:r>
        <w:rPr>
          <w:rFonts w:hint="eastAsia" w:ascii="仿宋" w:hAnsi="仿宋" w:eastAsia="仿宋" w:cs="仿宋"/>
          <w:sz w:val="32"/>
          <w:szCs w:val="32"/>
          <w:lang w:val="en-US" w:eastAsia="zh-CN"/>
        </w:rPr>
        <w:t>107</w:t>
      </w:r>
      <w:r>
        <w:rPr>
          <w:rFonts w:hint="eastAsia" w:ascii="仿宋" w:hAnsi="仿宋" w:eastAsia="仿宋" w:cs="仿宋"/>
          <w:sz w:val="32"/>
          <w:szCs w:val="32"/>
        </w:rPr>
        <w:t>人，占毕业生总人数的</w:t>
      </w:r>
      <w:r>
        <w:rPr>
          <w:rFonts w:hint="eastAsia" w:ascii="仿宋" w:hAnsi="仿宋" w:eastAsia="仿宋" w:cs="仿宋"/>
          <w:sz w:val="32"/>
          <w:szCs w:val="32"/>
          <w:lang w:val="en-US" w:eastAsia="zh-CN"/>
        </w:rPr>
        <w:t>28.92</w:t>
      </w:r>
      <w:r>
        <w:rPr>
          <w:rFonts w:hint="eastAsia" w:ascii="仿宋" w:hAnsi="仿宋" w:eastAsia="仿宋" w:cs="仿宋"/>
          <w:sz w:val="32"/>
          <w:szCs w:val="32"/>
        </w:rPr>
        <w:t>%；农村户口毕业生为</w:t>
      </w:r>
      <w:r>
        <w:rPr>
          <w:rFonts w:hint="eastAsia" w:ascii="仿宋" w:hAnsi="仿宋" w:eastAsia="仿宋" w:cs="仿宋"/>
          <w:sz w:val="32"/>
          <w:szCs w:val="32"/>
          <w:lang w:val="en-US" w:eastAsia="zh-CN"/>
        </w:rPr>
        <w:t>263</w:t>
      </w:r>
      <w:r>
        <w:rPr>
          <w:rFonts w:hint="eastAsia" w:ascii="仿宋" w:hAnsi="仿宋" w:eastAsia="仿宋" w:cs="仿宋"/>
          <w:sz w:val="32"/>
          <w:szCs w:val="32"/>
        </w:rPr>
        <w:t>人，占毕业生总人数的</w:t>
      </w:r>
      <w:r>
        <w:rPr>
          <w:rFonts w:hint="eastAsia" w:ascii="仿宋" w:hAnsi="仿宋" w:eastAsia="仿宋" w:cs="仿宋"/>
          <w:sz w:val="32"/>
          <w:szCs w:val="32"/>
          <w:lang w:val="en-US" w:eastAsia="zh-CN"/>
        </w:rPr>
        <w:t>71.08</w:t>
      </w:r>
      <w:r>
        <w:rPr>
          <w:rFonts w:hint="eastAsia" w:ascii="仿宋" w:hAnsi="仿宋" w:eastAsia="仿宋" w:cs="仿宋"/>
          <w:sz w:val="32"/>
          <w:szCs w:val="32"/>
        </w:rPr>
        <w:t>%。</w:t>
      </w:r>
      <w:bookmarkStart w:id="20" w:name="_Toc844"/>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21" w:name="_Toc14937"/>
      <w:bookmarkStart w:id="22" w:name="_Toc3178"/>
      <w:bookmarkStart w:id="23" w:name="_Toc6882"/>
      <w:r>
        <w:rPr>
          <w:rFonts w:hint="eastAsia"/>
        </w:rPr>
        <w:t>3、生源地分布</w:t>
      </w:r>
      <w:bookmarkEnd w:id="20"/>
      <w:bookmarkEnd w:id="21"/>
      <w:bookmarkEnd w:id="22"/>
      <w:bookmarkEnd w:id="23"/>
    </w:p>
    <w:p>
      <w:pPr>
        <w:ind w:firstLine="560"/>
        <w:rPr>
          <w:rFonts w:hint="eastAsia" w:ascii="仿宋" w:hAnsi="仿宋" w:eastAsia="仿宋" w:cs="仿宋"/>
          <w:sz w:val="32"/>
          <w:szCs w:val="32"/>
        </w:rPr>
      </w:pPr>
      <w:r>
        <w:rPr>
          <w:rFonts w:hint="eastAsia" w:ascii="仿宋" w:hAnsi="仿宋" w:eastAsia="仿宋" w:cs="仿宋"/>
          <w:sz w:val="32"/>
          <w:szCs w:val="32"/>
        </w:rPr>
        <w:t>湖南省内生源</w:t>
      </w:r>
      <w:r>
        <w:rPr>
          <w:rFonts w:hint="eastAsia" w:ascii="仿宋" w:hAnsi="仿宋" w:eastAsia="仿宋" w:cs="仿宋"/>
          <w:sz w:val="32"/>
          <w:szCs w:val="32"/>
          <w:lang w:val="en-US" w:eastAsia="zh-CN"/>
        </w:rPr>
        <w:t>318</w:t>
      </w:r>
      <w:r>
        <w:rPr>
          <w:rFonts w:hint="eastAsia" w:ascii="仿宋" w:hAnsi="仿宋" w:eastAsia="仿宋" w:cs="仿宋"/>
          <w:sz w:val="32"/>
          <w:szCs w:val="32"/>
        </w:rPr>
        <w:t>人，其中常德</w:t>
      </w:r>
      <w:r>
        <w:rPr>
          <w:rFonts w:hint="eastAsia" w:ascii="仿宋" w:hAnsi="仿宋" w:eastAsia="仿宋" w:cs="仿宋"/>
          <w:sz w:val="32"/>
          <w:szCs w:val="32"/>
          <w:lang w:val="en-US" w:eastAsia="zh-CN"/>
        </w:rPr>
        <w:t>30</w:t>
      </w:r>
      <w:r>
        <w:rPr>
          <w:rFonts w:hint="eastAsia" w:ascii="仿宋" w:hAnsi="仿宋" w:eastAsia="仿宋" w:cs="仿宋"/>
          <w:sz w:val="32"/>
          <w:szCs w:val="32"/>
        </w:rPr>
        <w:t>人、郴州</w:t>
      </w:r>
      <w:r>
        <w:rPr>
          <w:rFonts w:hint="eastAsia" w:ascii="仿宋" w:hAnsi="仿宋" w:eastAsia="仿宋" w:cs="仿宋"/>
          <w:sz w:val="32"/>
          <w:szCs w:val="32"/>
          <w:lang w:val="en-US" w:eastAsia="zh-CN"/>
        </w:rPr>
        <w:t>12</w:t>
      </w:r>
      <w:r>
        <w:rPr>
          <w:rFonts w:hint="eastAsia" w:ascii="仿宋" w:hAnsi="仿宋" w:eastAsia="仿宋" w:cs="仿宋"/>
          <w:sz w:val="32"/>
          <w:szCs w:val="32"/>
        </w:rPr>
        <w:t>人、衡阳</w:t>
      </w:r>
      <w:r>
        <w:rPr>
          <w:rFonts w:hint="eastAsia" w:ascii="仿宋" w:hAnsi="仿宋" w:eastAsia="仿宋" w:cs="仿宋"/>
          <w:sz w:val="32"/>
          <w:szCs w:val="32"/>
          <w:lang w:val="en-US" w:eastAsia="zh-CN"/>
        </w:rPr>
        <w:t>43</w:t>
      </w:r>
      <w:r>
        <w:rPr>
          <w:rFonts w:hint="eastAsia" w:ascii="仿宋" w:hAnsi="仿宋" w:eastAsia="仿宋" w:cs="仿宋"/>
          <w:sz w:val="32"/>
          <w:szCs w:val="32"/>
        </w:rPr>
        <w:t>人、怀化</w:t>
      </w:r>
      <w:r>
        <w:rPr>
          <w:rFonts w:hint="eastAsia" w:ascii="仿宋" w:hAnsi="仿宋" w:eastAsia="仿宋" w:cs="仿宋"/>
          <w:sz w:val="32"/>
          <w:szCs w:val="32"/>
          <w:lang w:val="en-US" w:eastAsia="zh-CN"/>
        </w:rPr>
        <w:t>17</w:t>
      </w:r>
      <w:r>
        <w:rPr>
          <w:rFonts w:hint="eastAsia" w:ascii="仿宋" w:hAnsi="仿宋" w:eastAsia="仿宋" w:cs="仿宋"/>
          <w:sz w:val="32"/>
          <w:szCs w:val="32"/>
        </w:rPr>
        <w:t>人、娄底</w:t>
      </w:r>
      <w:r>
        <w:rPr>
          <w:rFonts w:hint="eastAsia" w:ascii="仿宋" w:hAnsi="仿宋" w:eastAsia="仿宋" w:cs="仿宋"/>
          <w:sz w:val="32"/>
          <w:szCs w:val="32"/>
          <w:lang w:val="en-US" w:eastAsia="zh-CN"/>
        </w:rPr>
        <w:t>28</w:t>
      </w:r>
      <w:r>
        <w:rPr>
          <w:rFonts w:hint="eastAsia" w:ascii="仿宋" w:hAnsi="仿宋" w:eastAsia="仿宋" w:cs="仿宋"/>
          <w:sz w:val="32"/>
          <w:szCs w:val="32"/>
        </w:rPr>
        <w:t>人、邵阳</w:t>
      </w:r>
      <w:r>
        <w:rPr>
          <w:rFonts w:hint="eastAsia" w:ascii="仿宋" w:hAnsi="仿宋" w:eastAsia="仿宋" w:cs="仿宋"/>
          <w:sz w:val="32"/>
          <w:szCs w:val="32"/>
          <w:lang w:val="en-US" w:eastAsia="zh-CN"/>
        </w:rPr>
        <w:t>52</w:t>
      </w:r>
      <w:r>
        <w:rPr>
          <w:rFonts w:hint="eastAsia" w:ascii="仿宋" w:hAnsi="仿宋" w:eastAsia="仿宋" w:cs="仿宋"/>
          <w:sz w:val="32"/>
          <w:szCs w:val="32"/>
        </w:rPr>
        <w:t>人、湘潭</w:t>
      </w:r>
      <w:r>
        <w:rPr>
          <w:rFonts w:hint="eastAsia" w:ascii="仿宋" w:hAnsi="仿宋" w:eastAsia="仿宋" w:cs="仿宋"/>
          <w:sz w:val="32"/>
          <w:szCs w:val="32"/>
          <w:lang w:val="en-US" w:eastAsia="zh-CN"/>
        </w:rPr>
        <w:t>15</w:t>
      </w:r>
      <w:r>
        <w:rPr>
          <w:rFonts w:hint="eastAsia" w:ascii="仿宋" w:hAnsi="仿宋" w:eastAsia="仿宋" w:cs="仿宋"/>
          <w:sz w:val="32"/>
          <w:szCs w:val="32"/>
        </w:rPr>
        <w:t>人、湘西</w:t>
      </w:r>
      <w:r>
        <w:rPr>
          <w:rFonts w:hint="eastAsia" w:ascii="仿宋" w:hAnsi="仿宋" w:eastAsia="仿宋" w:cs="仿宋"/>
          <w:sz w:val="32"/>
          <w:szCs w:val="32"/>
          <w:lang w:val="en-US" w:eastAsia="zh-CN"/>
        </w:rPr>
        <w:t>21</w:t>
      </w:r>
      <w:r>
        <w:rPr>
          <w:rFonts w:hint="eastAsia" w:ascii="仿宋" w:hAnsi="仿宋" w:eastAsia="仿宋" w:cs="仿宋"/>
          <w:sz w:val="32"/>
          <w:szCs w:val="32"/>
        </w:rPr>
        <w:t>人、益阳</w:t>
      </w:r>
      <w:r>
        <w:rPr>
          <w:rFonts w:hint="eastAsia" w:ascii="仿宋" w:hAnsi="仿宋" w:eastAsia="仿宋" w:cs="仿宋"/>
          <w:sz w:val="32"/>
          <w:szCs w:val="32"/>
          <w:lang w:val="en-US" w:eastAsia="zh-CN"/>
        </w:rPr>
        <w:t>7</w:t>
      </w:r>
      <w:r>
        <w:rPr>
          <w:rFonts w:hint="eastAsia" w:ascii="仿宋" w:hAnsi="仿宋" w:eastAsia="仿宋" w:cs="仿宋"/>
          <w:sz w:val="32"/>
          <w:szCs w:val="32"/>
        </w:rPr>
        <w:t>人、永州</w:t>
      </w:r>
      <w:r>
        <w:rPr>
          <w:rFonts w:hint="eastAsia" w:ascii="仿宋" w:hAnsi="仿宋" w:eastAsia="仿宋" w:cs="仿宋"/>
          <w:sz w:val="32"/>
          <w:szCs w:val="32"/>
          <w:lang w:val="en-US" w:eastAsia="zh-CN"/>
        </w:rPr>
        <w:t>30</w:t>
      </w:r>
      <w:r>
        <w:rPr>
          <w:rFonts w:hint="eastAsia" w:ascii="仿宋" w:hAnsi="仿宋" w:eastAsia="仿宋" w:cs="仿宋"/>
          <w:sz w:val="32"/>
          <w:szCs w:val="32"/>
        </w:rPr>
        <w:t>人、岳阳</w:t>
      </w:r>
      <w:r>
        <w:rPr>
          <w:rFonts w:hint="eastAsia" w:ascii="仿宋" w:hAnsi="仿宋" w:eastAsia="仿宋" w:cs="仿宋"/>
          <w:sz w:val="32"/>
          <w:szCs w:val="32"/>
          <w:lang w:val="en-US" w:eastAsia="zh-CN"/>
        </w:rPr>
        <w:t>19</w:t>
      </w:r>
      <w:r>
        <w:rPr>
          <w:rFonts w:hint="eastAsia" w:ascii="仿宋" w:hAnsi="仿宋" w:eastAsia="仿宋" w:cs="仿宋"/>
          <w:sz w:val="32"/>
          <w:szCs w:val="32"/>
        </w:rPr>
        <w:t>人、张家界</w:t>
      </w:r>
      <w:r>
        <w:rPr>
          <w:rFonts w:hint="eastAsia" w:ascii="仿宋" w:hAnsi="仿宋" w:eastAsia="仿宋" w:cs="仿宋"/>
          <w:sz w:val="32"/>
          <w:szCs w:val="32"/>
          <w:lang w:val="en-US" w:eastAsia="zh-CN"/>
        </w:rPr>
        <w:t>15</w:t>
      </w:r>
      <w:r>
        <w:rPr>
          <w:rFonts w:hint="eastAsia" w:ascii="仿宋" w:hAnsi="仿宋" w:eastAsia="仿宋" w:cs="仿宋"/>
          <w:sz w:val="32"/>
          <w:szCs w:val="32"/>
        </w:rPr>
        <w:t>人、长沙</w:t>
      </w:r>
      <w:r>
        <w:rPr>
          <w:rFonts w:hint="eastAsia" w:ascii="仿宋" w:hAnsi="仿宋" w:eastAsia="仿宋" w:cs="仿宋"/>
          <w:sz w:val="32"/>
          <w:szCs w:val="32"/>
          <w:lang w:val="en-US" w:eastAsia="zh-CN"/>
        </w:rPr>
        <w:t>17</w:t>
      </w:r>
      <w:r>
        <w:rPr>
          <w:rFonts w:hint="eastAsia" w:ascii="仿宋" w:hAnsi="仿宋" w:eastAsia="仿宋" w:cs="仿宋"/>
          <w:sz w:val="32"/>
          <w:szCs w:val="32"/>
        </w:rPr>
        <w:t>人、株洲</w:t>
      </w:r>
      <w:r>
        <w:rPr>
          <w:rFonts w:hint="eastAsia" w:ascii="仿宋" w:hAnsi="仿宋" w:eastAsia="仿宋" w:cs="仿宋"/>
          <w:sz w:val="32"/>
          <w:szCs w:val="32"/>
          <w:lang w:val="en-US" w:eastAsia="zh-CN"/>
        </w:rPr>
        <w:t>12</w:t>
      </w:r>
      <w:r>
        <w:rPr>
          <w:rFonts w:hint="eastAsia" w:ascii="仿宋" w:hAnsi="仿宋" w:eastAsia="仿宋" w:cs="仿宋"/>
          <w:sz w:val="32"/>
          <w:szCs w:val="32"/>
        </w:rPr>
        <w:t>人，湖南省生源占学生总人数的</w:t>
      </w:r>
      <w:r>
        <w:rPr>
          <w:rFonts w:hint="eastAsia" w:ascii="仿宋" w:hAnsi="仿宋" w:eastAsia="仿宋" w:cs="仿宋"/>
          <w:sz w:val="32"/>
          <w:szCs w:val="32"/>
          <w:lang w:val="en-US" w:eastAsia="zh-CN"/>
        </w:rPr>
        <w:t>85.95</w:t>
      </w:r>
      <w:r>
        <w:rPr>
          <w:rFonts w:hint="eastAsia" w:ascii="仿宋" w:hAnsi="仿宋" w:eastAsia="仿宋" w:cs="仿宋"/>
          <w:sz w:val="32"/>
          <w:szCs w:val="32"/>
        </w:rPr>
        <w:t>%。非湖南省生源</w:t>
      </w:r>
      <w:r>
        <w:rPr>
          <w:rFonts w:hint="eastAsia" w:ascii="仿宋" w:hAnsi="仿宋" w:eastAsia="仿宋" w:cs="仿宋"/>
          <w:sz w:val="32"/>
          <w:szCs w:val="32"/>
          <w:lang w:val="en-US" w:eastAsia="zh-CN"/>
        </w:rPr>
        <w:t>52</w:t>
      </w:r>
      <w:r>
        <w:rPr>
          <w:rFonts w:hint="eastAsia" w:ascii="仿宋" w:hAnsi="仿宋" w:eastAsia="仿宋" w:cs="仿宋"/>
          <w:sz w:val="32"/>
          <w:szCs w:val="32"/>
        </w:rPr>
        <w:t>人，来自安徽、福建、甘肃、广东、贵州、河南、湖北、吉林、四川等18个省（直辖市），非湖南省生源占学生总人数的</w:t>
      </w:r>
      <w:r>
        <w:rPr>
          <w:rFonts w:hint="eastAsia" w:ascii="仿宋" w:hAnsi="仿宋" w:eastAsia="仿宋" w:cs="仿宋"/>
          <w:sz w:val="32"/>
          <w:szCs w:val="32"/>
          <w:lang w:val="en-US" w:eastAsia="zh-CN"/>
        </w:rPr>
        <w:t>14.05</w:t>
      </w:r>
      <w:r>
        <w:rPr>
          <w:rFonts w:hint="eastAsia" w:ascii="仿宋" w:hAnsi="仿宋" w:eastAsia="仿宋" w:cs="仿宋"/>
          <w:sz w:val="32"/>
          <w:szCs w:val="32"/>
        </w:rPr>
        <w:t>%。</w:t>
      </w:r>
    </w:p>
    <w:p>
      <w:pPr>
        <w:ind w:firstLine="560"/>
        <w:rPr>
          <w:rFonts w:hint="eastAsia" w:ascii="仿宋_GB2312" w:hAnsi="微软雅黑" w:eastAsia="仿宋_GB2312" w:cs="仿宋_GB2312"/>
          <w:b/>
          <w:color w:val="000000"/>
          <w:kern w:val="2"/>
          <w:sz w:val="24"/>
          <w:szCs w:val="24"/>
          <w:lang w:val="en-US" w:eastAsia="zh-CN" w:bidi="ar"/>
        </w:rPr>
      </w:pPr>
      <w:r>
        <w:rPr>
          <w:rFonts w:hint="eastAsia" w:ascii="仿宋_GB2312" w:hAnsi="微软雅黑" w:eastAsia="仿宋_GB2312" w:cs="仿宋_GB2312"/>
          <w:b/>
          <w:color w:val="000000"/>
          <w:kern w:val="2"/>
          <w:lang w:val="en-US" w:eastAsia="zh-CN" w:bidi="ar"/>
        </w:rPr>
        <w:t xml:space="preserve">  </w:t>
      </w:r>
      <w:r>
        <w:rPr>
          <w:rFonts w:hint="eastAsia" w:ascii="仿宋_GB2312" w:hAnsi="微软雅黑" w:eastAsia="仿宋_GB2312" w:cs="仿宋_GB2312"/>
          <w:b/>
          <w:color w:val="000000"/>
          <w:kern w:val="2"/>
          <w:sz w:val="24"/>
          <w:szCs w:val="24"/>
          <w:lang w:val="en-US" w:eastAsia="zh-CN" w:bidi="ar"/>
        </w:rPr>
        <w:t>表1.2.3吉首大学信息科学与工程学院2017届毕业生生源地分布</w:t>
      </w:r>
    </w:p>
    <w:tbl>
      <w:tblPr>
        <w:tblStyle w:val="16"/>
        <w:tblW w:w="6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365"/>
        <w:gridCol w:w="19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省份</w:t>
            </w:r>
          </w:p>
        </w:tc>
        <w:tc>
          <w:tcPr>
            <w:tcW w:w="1365"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人数（人）</w:t>
            </w:r>
          </w:p>
        </w:tc>
        <w:tc>
          <w:tcPr>
            <w:tcW w:w="1935"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省份</w:t>
            </w:r>
          </w:p>
        </w:tc>
        <w:tc>
          <w:tcPr>
            <w:tcW w:w="1335"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安徽省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福建省</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甘肃省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广东省</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贵州省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广西省</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eastAsia="zh-CN" w:bidi="ar"/>
              </w:rPr>
              <w:t>山西省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河南省</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湖北省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湖南省</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吉林省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云南省</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宁夏自治区</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内蒙古自治区</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四川省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新疆自治区</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重庆市</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eastAsia="zh-CN" w:bidi="ar"/>
              </w:rPr>
              <w:t>西藏自治区</w:t>
            </w: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blHeader/>
          <w:jc w:val="center"/>
        </w:trPr>
        <w:tc>
          <w:tcPr>
            <w:tcW w:w="2087"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bidi="ar"/>
              </w:rPr>
            </w:pPr>
            <w:r>
              <w:rPr>
                <w:rFonts w:hint="eastAsia" w:ascii="宋体" w:hAnsi="宋体" w:eastAsia="宋体" w:cs="宋体"/>
                <w:color w:val="auto"/>
                <w:kern w:val="0"/>
                <w:sz w:val="22"/>
                <w:szCs w:val="22"/>
              </w:rPr>
              <w:t>山东省</w:t>
            </w:r>
          </w:p>
        </w:tc>
        <w:tc>
          <w:tcPr>
            <w:tcW w:w="136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9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bidi="ar"/>
              </w:rPr>
            </w:pPr>
          </w:p>
        </w:tc>
      </w:tr>
    </w:tbl>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24" w:name="_Toc6743"/>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25" w:name="_Toc19733"/>
      <w:bookmarkStart w:id="26" w:name="_Toc26384"/>
      <w:bookmarkStart w:id="27" w:name="_Toc5573"/>
      <w:r>
        <w:rPr>
          <w:rFonts w:hint="eastAsia"/>
        </w:rPr>
        <w:t>4、少数民族毕业生分布</w:t>
      </w:r>
      <w:bookmarkEnd w:id="24"/>
      <w:bookmarkEnd w:id="25"/>
      <w:bookmarkEnd w:id="26"/>
      <w:bookmarkEnd w:id="27"/>
    </w:p>
    <w:p>
      <w:pPr>
        <w:ind w:firstLine="560"/>
        <w:rPr>
          <w:rFonts w:hint="eastAsia" w:ascii="仿宋" w:hAnsi="仿宋" w:eastAsia="仿宋" w:cs="仿宋"/>
          <w:sz w:val="32"/>
          <w:szCs w:val="32"/>
        </w:rPr>
      </w:pPr>
      <w:r>
        <w:rPr>
          <w:rFonts w:hint="eastAsia" w:ascii="仿宋" w:hAnsi="仿宋" w:eastAsia="仿宋" w:cs="仿宋"/>
          <w:sz w:val="32"/>
          <w:szCs w:val="32"/>
        </w:rPr>
        <w:t>我院201</w:t>
      </w:r>
      <w:r>
        <w:rPr>
          <w:rFonts w:hint="eastAsia" w:ascii="仿宋" w:hAnsi="仿宋" w:eastAsia="仿宋" w:cs="仿宋"/>
          <w:sz w:val="32"/>
          <w:szCs w:val="32"/>
          <w:lang w:val="en-US" w:eastAsia="zh-CN"/>
        </w:rPr>
        <w:t>7</w:t>
      </w:r>
      <w:r>
        <w:rPr>
          <w:rFonts w:hint="eastAsia" w:ascii="仿宋" w:hAnsi="仿宋" w:eastAsia="仿宋" w:cs="仿宋"/>
          <w:sz w:val="32"/>
          <w:szCs w:val="32"/>
        </w:rPr>
        <w:t>届共有少数民族毕业生</w:t>
      </w:r>
      <w:r>
        <w:rPr>
          <w:rFonts w:hint="eastAsia" w:ascii="仿宋" w:hAnsi="仿宋" w:eastAsia="仿宋" w:cs="仿宋"/>
          <w:sz w:val="32"/>
          <w:szCs w:val="32"/>
          <w:lang w:val="en-US" w:eastAsia="zh-CN"/>
        </w:rPr>
        <w:t>8</w:t>
      </w:r>
      <w:r>
        <w:rPr>
          <w:rFonts w:hint="eastAsia" w:ascii="仿宋" w:hAnsi="仿宋" w:eastAsia="仿宋" w:cs="仿宋"/>
          <w:sz w:val="32"/>
          <w:szCs w:val="32"/>
        </w:rPr>
        <w:t>3人，占学生人数的</w:t>
      </w:r>
      <w:r>
        <w:rPr>
          <w:rFonts w:hint="eastAsia" w:ascii="仿宋" w:hAnsi="仿宋" w:eastAsia="仿宋" w:cs="仿宋"/>
          <w:sz w:val="32"/>
          <w:szCs w:val="32"/>
          <w:lang w:val="en-US" w:eastAsia="zh-CN"/>
        </w:rPr>
        <w:t>22.43</w:t>
      </w:r>
      <w:r>
        <w:rPr>
          <w:rFonts w:hint="eastAsia" w:ascii="仿宋" w:hAnsi="仿宋" w:eastAsia="仿宋" w:cs="仿宋"/>
          <w:sz w:val="32"/>
          <w:szCs w:val="32"/>
        </w:rPr>
        <w:t>%，来自于1</w:t>
      </w:r>
      <w:r>
        <w:rPr>
          <w:rFonts w:hint="eastAsia" w:ascii="仿宋" w:hAnsi="仿宋" w:eastAsia="仿宋" w:cs="仿宋"/>
          <w:sz w:val="32"/>
          <w:szCs w:val="32"/>
          <w:lang w:val="en-US" w:eastAsia="zh-CN"/>
        </w:rPr>
        <w:t>2</w:t>
      </w:r>
      <w:r>
        <w:rPr>
          <w:rFonts w:hint="eastAsia" w:ascii="仿宋" w:hAnsi="仿宋" w:eastAsia="仿宋" w:cs="仿宋"/>
          <w:sz w:val="32"/>
          <w:szCs w:val="32"/>
        </w:rPr>
        <w:t>个少数民族，详见表1.2.4。</w:t>
      </w:r>
    </w:p>
    <w:p>
      <w:pPr>
        <w:ind w:firstLine="560"/>
        <w:rPr>
          <w:rFonts w:hint="eastAsia" w:ascii="仿宋" w:hAnsi="仿宋" w:eastAsia="仿宋" w:cs="仿宋"/>
          <w:sz w:val="32"/>
          <w:szCs w:val="32"/>
        </w:rPr>
      </w:pPr>
    </w:p>
    <w:p>
      <w:pPr>
        <w:pStyle w:val="11"/>
        <w:spacing w:line="360" w:lineRule="auto"/>
        <w:jc w:val="center"/>
        <w:rPr>
          <w:rFonts w:hint="eastAsia" w:ascii="仿宋_GB2312" w:hAnsi="微软雅黑" w:eastAsia="仿宋_GB2312" w:cs="仿宋_GB2312"/>
          <w:b/>
          <w:color w:val="000000"/>
          <w:kern w:val="2"/>
          <w:lang w:bidi="ar"/>
        </w:rPr>
      </w:pPr>
    </w:p>
    <w:p>
      <w:pPr>
        <w:pStyle w:val="11"/>
        <w:spacing w:line="360" w:lineRule="auto"/>
        <w:jc w:val="center"/>
        <w:rPr>
          <w:rFonts w:ascii="仿宋_GB2312" w:hAnsi="微软雅黑" w:eastAsia="仿宋_GB2312" w:cs="仿宋_GB2312"/>
          <w:b/>
          <w:color w:val="000000"/>
        </w:rPr>
      </w:pPr>
      <w:r>
        <w:rPr>
          <w:rFonts w:hint="eastAsia" w:ascii="仿宋_GB2312" w:hAnsi="微软雅黑" w:eastAsia="仿宋_GB2312" w:cs="仿宋_GB2312"/>
          <w:b/>
          <w:color w:val="000000"/>
          <w:kern w:val="2"/>
          <w:lang w:bidi="ar"/>
        </w:rPr>
        <w:t>表1.2.4吉首大学信息科学与工程学院201</w:t>
      </w:r>
      <w:r>
        <w:rPr>
          <w:rFonts w:hint="eastAsia" w:ascii="仿宋_GB2312" w:hAnsi="微软雅黑" w:eastAsia="仿宋_GB2312" w:cs="仿宋_GB2312"/>
          <w:b/>
          <w:color w:val="000000"/>
          <w:kern w:val="2"/>
          <w:lang w:val="en-US" w:eastAsia="zh-CN" w:bidi="ar"/>
        </w:rPr>
        <w:t>7</w:t>
      </w:r>
      <w:r>
        <w:rPr>
          <w:rFonts w:hint="eastAsia" w:ascii="仿宋_GB2312" w:hAnsi="微软雅黑" w:eastAsia="仿宋_GB2312" w:cs="仿宋_GB2312"/>
          <w:b/>
          <w:color w:val="000000"/>
          <w:kern w:val="2"/>
          <w:lang w:bidi="ar"/>
        </w:rPr>
        <w:t>届少数民族毕业生分布情况</w:t>
      </w:r>
    </w:p>
    <w:tbl>
      <w:tblPr>
        <w:tblStyle w:val="16"/>
        <w:tblW w:w="740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559"/>
        <w:gridCol w:w="559"/>
        <w:gridCol w:w="559"/>
        <w:gridCol w:w="559"/>
        <w:gridCol w:w="559"/>
        <w:gridCol w:w="559"/>
        <w:gridCol w:w="559"/>
        <w:gridCol w:w="559"/>
        <w:gridCol w:w="559"/>
        <w:gridCol w:w="559"/>
        <w:gridCol w:w="559"/>
        <w:gridCol w:w="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2" w:hRule="atLeast"/>
          <w:jc w:val="center"/>
        </w:trPr>
        <w:tc>
          <w:tcPr>
            <w:tcW w:w="698"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民族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白族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维吾尔族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苗族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瑶族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color w:val="000000"/>
                <w:kern w:val="0"/>
                <w:sz w:val="22"/>
                <w:szCs w:val="22"/>
              </w:rPr>
              <w:t>彝族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lang w:bidi="ar"/>
              </w:rPr>
            </w:pPr>
            <w:r>
              <w:rPr>
                <w:rFonts w:hint="eastAsia" w:ascii="宋体" w:hAnsi="宋体" w:eastAsia="宋体" w:cs="宋体"/>
                <w:color w:val="000000"/>
                <w:kern w:val="0"/>
                <w:sz w:val="22"/>
                <w:szCs w:val="22"/>
              </w:rPr>
              <w:t>土家族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lang w:bidi="ar"/>
              </w:rPr>
            </w:pPr>
            <w:r>
              <w:rPr>
                <w:rFonts w:hint="eastAsia" w:ascii="宋体" w:hAnsi="宋体" w:eastAsia="宋体" w:cs="宋体"/>
                <w:color w:val="000000"/>
                <w:kern w:val="0"/>
                <w:sz w:val="22"/>
                <w:szCs w:val="22"/>
              </w:rPr>
              <w:t>蒙古族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hint="eastAsia" w:ascii="宋体" w:hAnsi="宋体" w:eastAsia="宋体" w:cs="宋体"/>
                <w:b/>
                <w:color w:val="000000"/>
                <w:kern w:val="0"/>
                <w:sz w:val="22"/>
                <w:szCs w:val="22"/>
                <w:lang w:eastAsia="zh-CN" w:bidi="ar"/>
              </w:rPr>
            </w:pPr>
            <w:r>
              <w:rPr>
                <w:rFonts w:hint="eastAsia" w:ascii="宋体" w:hAnsi="宋体" w:eastAsia="宋体" w:cs="宋体"/>
                <w:color w:val="000000"/>
                <w:kern w:val="0"/>
                <w:sz w:val="22"/>
                <w:szCs w:val="22"/>
                <w:lang w:eastAsia="zh-CN"/>
              </w:rPr>
              <w:t>藏族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lang w:bidi="ar"/>
              </w:rPr>
            </w:pPr>
            <w:r>
              <w:rPr>
                <w:rFonts w:hint="eastAsia" w:ascii="宋体" w:hAnsi="宋体" w:eastAsia="宋体" w:cs="宋体"/>
                <w:color w:val="000000"/>
                <w:kern w:val="0"/>
                <w:sz w:val="22"/>
                <w:szCs w:val="22"/>
              </w:rPr>
              <w:t>回族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lang w:bidi="ar"/>
              </w:rPr>
            </w:pPr>
            <w:r>
              <w:rPr>
                <w:rFonts w:hint="eastAsia" w:ascii="宋体" w:hAnsi="宋体" w:eastAsia="宋体" w:cs="宋体"/>
                <w:color w:val="000000"/>
                <w:kern w:val="0"/>
                <w:sz w:val="22"/>
                <w:szCs w:val="22"/>
              </w:rPr>
              <w:t>满族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lang w:bidi="ar"/>
              </w:rPr>
            </w:pPr>
            <w:r>
              <w:rPr>
                <w:rFonts w:hint="eastAsia" w:ascii="宋体" w:hAnsi="宋体" w:eastAsia="宋体" w:cs="宋体"/>
                <w:color w:val="000000"/>
                <w:kern w:val="0"/>
                <w:sz w:val="22"/>
                <w:szCs w:val="22"/>
              </w:rPr>
              <w:t>侗族</w:t>
            </w:r>
          </w:p>
        </w:tc>
        <w:tc>
          <w:tcPr>
            <w:tcW w:w="55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壮族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6" w:hRule="atLeast"/>
          <w:jc w:val="center"/>
        </w:trPr>
        <w:tc>
          <w:tcPr>
            <w:tcW w:w="698"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人数</w:t>
            </w:r>
            <w:r>
              <w:rPr>
                <w:rFonts w:hint="eastAsia" w:ascii="宋体" w:hAnsi="宋体" w:eastAsia="宋体" w:cs="宋体"/>
                <w:color w:val="000000"/>
                <w:kern w:val="0"/>
                <w:sz w:val="15"/>
                <w:szCs w:val="15"/>
              </w:rPr>
              <w:t>（人）</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2</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10</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20</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32</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3</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4</w:t>
            </w:r>
          </w:p>
        </w:tc>
        <w:tc>
          <w:tcPr>
            <w:tcW w:w="559" w:type="dxa"/>
            <w:tcBorders>
              <w:top w:val="single" w:color="auto" w:sz="8" w:space="0"/>
              <w:left w:val="single" w:color="auto" w:sz="8" w:space="0"/>
              <w:bottom w:val="single" w:color="auto" w:sz="8" w:space="0"/>
              <w:right w:val="single" w:color="auto" w:sz="8"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r>
    </w:tbl>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28" w:name="_Toc11835"/>
      <w:bookmarkStart w:id="29" w:name="_Toc31762"/>
      <w:bookmarkStart w:id="30" w:name="_Toc5141"/>
      <w:bookmarkStart w:id="31" w:name="_Toc9117"/>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r>
        <w:rPr>
          <w:rFonts w:hint="eastAsia"/>
        </w:rPr>
        <w:t>5、毕业生各专业分布</w:t>
      </w:r>
      <w:bookmarkEnd w:id="28"/>
      <w:bookmarkEnd w:id="29"/>
      <w:bookmarkEnd w:id="30"/>
      <w:bookmarkEnd w:id="31"/>
    </w:p>
    <w:p>
      <w:pPr>
        <w:ind w:firstLine="640"/>
        <w:rPr>
          <w:rFonts w:hint="eastAsia" w:ascii="仿宋" w:hAnsi="仿宋" w:eastAsia="仿宋" w:cs="仿宋"/>
          <w:sz w:val="32"/>
          <w:szCs w:val="32"/>
        </w:rPr>
      </w:pPr>
      <w:r>
        <w:rPr>
          <w:rFonts w:hint="eastAsia" w:ascii="仿宋" w:hAnsi="仿宋" w:eastAsia="仿宋" w:cs="仿宋"/>
          <w:sz w:val="32"/>
          <w:szCs w:val="32"/>
        </w:rPr>
        <w:t>我院各专业201</w:t>
      </w:r>
      <w:r>
        <w:rPr>
          <w:rFonts w:hint="eastAsia" w:ascii="仿宋" w:hAnsi="仿宋" w:eastAsia="仿宋" w:cs="仿宋"/>
          <w:sz w:val="32"/>
          <w:szCs w:val="32"/>
          <w:lang w:val="en-US" w:eastAsia="zh-CN"/>
        </w:rPr>
        <w:t>7</w:t>
      </w:r>
      <w:r>
        <w:rPr>
          <w:rFonts w:hint="eastAsia" w:ascii="仿宋" w:hAnsi="仿宋" w:eastAsia="仿宋" w:cs="仿宋"/>
          <w:sz w:val="32"/>
          <w:szCs w:val="32"/>
        </w:rPr>
        <w:t>届毕业生人数分别是：计算机科学与技术6</w:t>
      </w:r>
      <w:r>
        <w:rPr>
          <w:rFonts w:hint="eastAsia" w:ascii="仿宋" w:hAnsi="仿宋" w:eastAsia="仿宋" w:cs="仿宋"/>
          <w:sz w:val="32"/>
          <w:szCs w:val="32"/>
          <w:lang w:val="en-US" w:eastAsia="zh-CN"/>
        </w:rPr>
        <w:t>8</w:t>
      </w:r>
      <w:r>
        <w:rPr>
          <w:rFonts w:hint="eastAsia" w:ascii="仿宋" w:hAnsi="仿宋" w:eastAsia="仿宋" w:cs="仿宋"/>
          <w:sz w:val="32"/>
          <w:szCs w:val="32"/>
        </w:rPr>
        <w:t>人，占</w:t>
      </w:r>
      <w:r>
        <w:rPr>
          <w:rFonts w:hint="eastAsia" w:ascii="仿宋" w:hAnsi="仿宋" w:eastAsia="仿宋" w:cs="仿宋"/>
          <w:sz w:val="32"/>
          <w:szCs w:val="32"/>
          <w:lang w:val="en-US" w:eastAsia="zh-CN"/>
        </w:rPr>
        <w:t>18.38</w:t>
      </w:r>
      <w:r>
        <w:rPr>
          <w:rFonts w:hint="eastAsia" w:ascii="仿宋" w:hAnsi="仿宋" w:eastAsia="仿宋" w:cs="仿宋"/>
          <w:sz w:val="32"/>
          <w:szCs w:val="32"/>
        </w:rPr>
        <w:t>%;电子信息工程</w:t>
      </w:r>
      <w:r>
        <w:rPr>
          <w:rFonts w:hint="eastAsia" w:ascii="仿宋" w:hAnsi="仿宋" w:eastAsia="仿宋" w:cs="仿宋"/>
          <w:sz w:val="32"/>
          <w:szCs w:val="32"/>
          <w:lang w:val="en-US" w:eastAsia="zh-CN"/>
        </w:rPr>
        <w:t>106</w:t>
      </w:r>
      <w:r>
        <w:rPr>
          <w:rFonts w:hint="eastAsia" w:ascii="仿宋" w:hAnsi="仿宋" w:eastAsia="仿宋" w:cs="仿宋"/>
          <w:sz w:val="32"/>
          <w:szCs w:val="32"/>
        </w:rPr>
        <w:t>人，占</w:t>
      </w:r>
      <w:r>
        <w:rPr>
          <w:rFonts w:hint="eastAsia" w:ascii="仿宋" w:hAnsi="仿宋" w:eastAsia="仿宋" w:cs="仿宋"/>
          <w:sz w:val="32"/>
          <w:szCs w:val="32"/>
          <w:lang w:val="en-US" w:eastAsia="zh-CN"/>
        </w:rPr>
        <w:t>28.65</w:t>
      </w:r>
      <w:r>
        <w:rPr>
          <w:rFonts w:hint="eastAsia" w:ascii="仿宋" w:hAnsi="仿宋" w:eastAsia="仿宋" w:cs="仿宋"/>
          <w:sz w:val="32"/>
          <w:szCs w:val="32"/>
        </w:rPr>
        <w:t>;通信工程</w:t>
      </w:r>
      <w:r>
        <w:rPr>
          <w:rFonts w:hint="eastAsia" w:ascii="仿宋" w:hAnsi="仿宋" w:eastAsia="仿宋" w:cs="仿宋"/>
          <w:sz w:val="32"/>
          <w:szCs w:val="32"/>
          <w:lang w:val="en-US" w:eastAsia="zh-CN"/>
        </w:rPr>
        <w:t>84</w:t>
      </w:r>
      <w:r>
        <w:rPr>
          <w:rFonts w:hint="eastAsia" w:ascii="仿宋" w:hAnsi="仿宋" w:eastAsia="仿宋" w:cs="仿宋"/>
          <w:sz w:val="32"/>
          <w:szCs w:val="32"/>
        </w:rPr>
        <w:t>人，占</w:t>
      </w:r>
      <w:r>
        <w:rPr>
          <w:rFonts w:hint="eastAsia" w:ascii="仿宋" w:hAnsi="仿宋" w:eastAsia="仿宋" w:cs="仿宋"/>
          <w:sz w:val="32"/>
          <w:szCs w:val="32"/>
          <w:lang w:val="en-US" w:eastAsia="zh-CN"/>
        </w:rPr>
        <w:t>22.70</w:t>
      </w:r>
      <w:r>
        <w:rPr>
          <w:rFonts w:hint="eastAsia" w:ascii="仿宋" w:hAnsi="仿宋" w:eastAsia="仿宋" w:cs="仿宋"/>
          <w:sz w:val="32"/>
          <w:szCs w:val="32"/>
        </w:rPr>
        <w:t>%;网络工程</w:t>
      </w:r>
      <w:r>
        <w:rPr>
          <w:rFonts w:hint="eastAsia" w:ascii="仿宋" w:hAnsi="仿宋" w:eastAsia="仿宋" w:cs="仿宋"/>
          <w:sz w:val="32"/>
          <w:szCs w:val="32"/>
          <w:lang w:val="en-US" w:eastAsia="zh-CN"/>
        </w:rPr>
        <w:t>54</w:t>
      </w:r>
      <w:r>
        <w:rPr>
          <w:rFonts w:hint="eastAsia" w:ascii="仿宋" w:hAnsi="仿宋" w:eastAsia="仿宋" w:cs="仿宋"/>
          <w:sz w:val="32"/>
          <w:szCs w:val="32"/>
        </w:rPr>
        <w:t>人，占</w:t>
      </w:r>
      <w:r>
        <w:rPr>
          <w:rFonts w:hint="eastAsia" w:ascii="仿宋" w:hAnsi="仿宋" w:eastAsia="仿宋" w:cs="仿宋"/>
          <w:sz w:val="32"/>
          <w:szCs w:val="32"/>
          <w:lang w:val="en-US" w:eastAsia="zh-CN"/>
        </w:rPr>
        <w:t>14.59</w:t>
      </w:r>
      <w:r>
        <w:rPr>
          <w:rFonts w:hint="eastAsia" w:ascii="仿宋" w:hAnsi="仿宋" w:eastAsia="仿宋" w:cs="仿宋"/>
          <w:sz w:val="32"/>
          <w:szCs w:val="32"/>
        </w:rPr>
        <w:t>%。</w:t>
      </w:r>
      <w:r>
        <w:rPr>
          <w:rFonts w:hint="eastAsia" w:ascii="仿宋" w:hAnsi="仿宋" w:eastAsia="仿宋" w:cs="仿宋"/>
          <w:sz w:val="32"/>
          <w:szCs w:val="32"/>
          <w:lang w:eastAsia="zh-CN"/>
        </w:rPr>
        <w:t>电气工程及其自动化</w:t>
      </w:r>
      <w:r>
        <w:rPr>
          <w:rFonts w:hint="eastAsia" w:ascii="仿宋" w:hAnsi="仿宋" w:eastAsia="仿宋" w:cs="仿宋"/>
          <w:sz w:val="32"/>
          <w:szCs w:val="32"/>
          <w:lang w:val="en-US" w:eastAsia="zh-CN"/>
        </w:rPr>
        <w:t>58，</w:t>
      </w:r>
      <w:r>
        <w:rPr>
          <w:rFonts w:hint="eastAsia" w:ascii="仿宋" w:hAnsi="仿宋" w:eastAsia="仿宋" w:cs="仿宋"/>
          <w:sz w:val="32"/>
          <w:szCs w:val="32"/>
        </w:rPr>
        <w:t>占</w:t>
      </w:r>
      <w:r>
        <w:rPr>
          <w:rFonts w:hint="eastAsia" w:ascii="仿宋" w:hAnsi="仿宋" w:eastAsia="仿宋" w:cs="仿宋"/>
          <w:sz w:val="32"/>
          <w:szCs w:val="32"/>
          <w:lang w:val="en-US" w:eastAsia="zh-CN"/>
        </w:rPr>
        <w:t>15.68</w:t>
      </w:r>
      <w:r>
        <w:rPr>
          <w:rFonts w:hint="eastAsia" w:ascii="仿宋" w:hAnsi="仿宋" w:eastAsia="仿宋" w:cs="仿宋"/>
          <w:sz w:val="32"/>
          <w:szCs w:val="32"/>
        </w:rPr>
        <w:t>%。</w:t>
      </w:r>
      <w:r>
        <w:rPr>
          <w:rFonts w:hint="eastAsia" w:ascii="仿宋" w:hAnsi="仿宋" w:eastAsia="仿宋" w:cs="仿宋"/>
          <w:sz w:val="32"/>
          <w:szCs w:val="32"/>
          <w:lang w:val="en-US" w:eastAsia="zh-CN"/>
        </w:rPr>
        <w:t>人</w:t>
      </w:r>
      <w:r>
        <w:rPr>
          <w:rFonts w:hint="eastAsia" w:ascii="仿宋" w:hAnsi="仿宋" w:eastAsia="仿宋" w:cs="仿宋"/>
          <w:sz w:val="32"/>
          <w:szCs w:val="32"/>
        </w:rPr>
        <w:t>详见</w:t>
      </w:r>
      <w:r>
        <w:rPr>
          <w:rFonts w:hint="eastAsia" w:ascii="仿宋" w:hAnsi="仿宋" w:eastAsia="仿宋" w:cs="仿宋"/>
          <w:sz w:val="32"/>
          <w:szCs w:val="32"/>
          <w:lang w:eastAsia="zh-CN"/>
        </w:rPr>
        <w:t>表</w:t>
      </w:r>
      <w:r>
        <w:rPr>
          <w:rFonts w:hint="eastAsia" w:ascii="仿宋" w:hAnsi="仿宋" w:eastAsia="仿宋" w:cs="仿宋"/>
          <w:sz w:val="32"/>
          <w:szCs w:val="32"/>
        </w:rPr>
        <w:t>1.2.5。</w:t>
      </w:r>
    </w:p>
    <w:p>
      <w:pPr>
        <w:ind w:firstLine="640"/>
        <w:rPr>
          <w:rFonts w:hint="eastAsia" w:ascii="仿宋" w:hAnsi="仿宋" w:eastAsia="仿宋" w:cs="仿宋"/>
          <w:sz w:val="32"/>
          <w:szCs w:val="32"/>
        </w:rPr>
      </w:pPr>
      <w:r>
        <w:rPr>
          <w:rFonts w:hint="eastAsia" w:ascii="仿宋_GB2312" w:hAnsi="微软雅黑" w:eastAsia="仿宋_GB2312" w:cs="仿宋_GB2312"/>
          <w:b/>
          <w:color w:val="000000"/>
          <w:kern w:val="2"/>
          <w:sz w:val="24"/>
          <w:szCs w:val="24"/>
          <w:lang w:val="en-US" w:eastAsia="zh-CN" w:bidi="ar"/>
        </w:rPr>
        <w:t xml:space="preserve"> 表1.2.5吉首大学信息科学与工程学院2017届毕业生各专业分布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564505" cy="2849245"/>
            <wp:effectExtent l="4445" t="4445" r="12700"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rPr>
      </w:pPr>
      <w:bookmarkStart w:id="32" w:name="_Toc22612"/>
      <w:bookmarkStart w:id="33" w:name="_Toc26622"/>
      <w:bookmarkStart w:id="34" w:name="_Toc4458"/>
      <w:bookmarkStart w:id="35" w:name="_Toc7490"/>
    </w:p>
    <w:p>
      <w:pPr>
        <w:rPr>
          <w:rFonts w:hint="eastAsia"/>
        </w:rPr>
      </w:pPr>
    </w:p>
    <w:p>
      <w:pPr>
        <w:rPr>
          <w:rFonts w:hint="eastAsia"/>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r>
        <w:rPr>
          <w:rFonts w:hint="eastAsia"/>
        </w:rPr>
        <w:t>（三）毕业生就业率情况</w:t>
      </w:r>
      <w:bookmarkEnd w:id="32"/>
      <w:bookmarkEnd w:id="33"/>
      <w:bookmarkEnd w:id="34"/>
      <w:bookmarkEnd w:id="35"/>
    </w:p>
    <w:p>
      <w:pPr>
        <w:pStyle w:val="11"/>
        <w:spacing w:line="360" w:lineRule="auto"/>
        <w:ind w:firstLine="640" w:firstLineChars="200"/>
        <w:jc w:val="both"/>
        <w:rPr>
          <w:rFonts w:ascii="仿宋_GB2312" w:hAnsi="微软雅黑" w:eastAsia="仿宋_GB2312" w:cs="仿宋_GB2312"/>
          <w:color w:val="000000"/>
          <w:kern w:val="2"/>
          <w:sz w:val="32"/>
          <w:szCs w:val="32"/>
          <w:lang w:bidi="ar"/>
        </w:rPr>
      </w:pPr>
      <w:r>
        <w:rPr>
          <w:rFonts w:hint="eastAsia" w:ascii="仿宋" w:hAnsi="仿宋" w:eastAsia="仿宋" w:cs="仿宋"/>
          <w:kern w:val="2"/>
          <w:sz w:val="32"/>
          <w:szCs w:val="32"/>
        </w:rPr>
        <w:t>截至201</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年8月</w:t>
      </w:r>
      <w:r>
        <w:rPr>
          <w:rFonts w:hint="eastAsia" w:ascii="仿宋" w:hAnsi="仿宋" w:eastAsia="仿宋" w:cs="仿宋"/>
          <w:kern w:val="2"/>
          <w:sz w:val="32"/>
          <w:szCs w:val="32"/>
          <w:lang w:val="en-US" w:eastAsia="zh-CN"/>
        </w:rPr>
        <w:t>24</w:t>
      </w:r>
      <w:r>
        <w:rPr>
          <w:rFonts w:hint="eastAsia" w:ascii="仿宋" w:hAnsi="仿宋" w:eastAsia="仿宋" w:cs="仿宋"/>
          <w:kern w:val="2"/>
          <w:sz w:val="32"/>
          <w:szCs w:val="32"/>
        </w:rPr>
        <w:t>日，我院201</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届毕业生初次就业率85.</w:t>
      </w:r>
      <w:r>
        <w:rPr>
          <w:rFonts w:hint="eastAsia" w:ascii="仿宋" w:hAnsi="仿宋" w:eastAsia="仿宋" w:cs="仿宋"/>
          <w:kern w:val="2"/>
          <w:sz w:val="32"/>
          <w:szCs w:val="32"/>
          <w:lang w:val="en-US" w:eastAsia="zh-CN"/>
        </w:rPr>
        <w:t>68</w:t>
      </w:r>
      <w:r>
        <w:rPr>
          <w:rFonts w:hint="eastAsia" w:ascii="仿宋" w:hAnsi="仿宋" w:eastAsia="仿宋" w:cs="仿宋"/>
          <w:kern w:val="2"/>
          <w:sz w:val="32"/>
          <w:szCs w:val="32"/>
        </w:rPr>
        <w:t>%。</w:t>
      </w:r>
    </w:p>
    <w:p>
      <w:pPr>
        <w:pStyle w:val="11"/>
        <w:spacing w:line="360" w:lineRule="auto"/>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截至201</w:t>
      </w:r>
      <w:r>
        <w:rPr>
          <w:rFonts w:hint="eastAsia" w:ascii="仿宋" w:hAnsi="仿宋" w:eastAsia="仿宋" w:cs="仿宋"/>
          <w:color w:val="auto"/>
          <w:kern w:val="2"/>
          <w:sz w:val="32"/>
          <w:szCs w:val="32"/>
          <w:lang w:val="en-US" w:eastAsia="zh-CN"/>
        </w:rPr>
        <w:t>7</w:t>
      </w:r>
      <w:r>
        <w:rPr>
          <w:rFonts w:hint="eastAsia" w:ascii="仿宋" w:hAnsi="仿宋" w:eastAsia="仿宋" w:cs="仿宋"/>
          <w:color w:val="auto"/>
          <w:kern w:val="2"/>
          <w:sz w:val="32"/>
          <w:szCs w:val="32"/>
        </w:rPr>
        <w:t>年1</w:t>
      </w:r>
      <w:r>
        <w:rPr>
          <w:rFonts w:hint="eastAsia" w:ascii="仿宋" w:hAnsi="仿宋" w:eastAsia="仿宋" w:cs="仿宋"/>
          <w:color w:val="auto"/>
          <w:kern w:val="2"/>
          <w:sz w:val="32"/>
          <w:szCs w:val="32"/>
          <w:lang w:val="en-US" w:eastAsia="zh-CN"/>
        </w:rPr>
        <w:t>2</w:t>
      </w:r>
      <w:r>
        <w:rPr>
          <w:rFonts w:hint="eastAsia" w:ascii="仿宋" w:hAnsi="仿宋" w:eastAsia="仿宋" w:cs="仿宋"/>
          <w:color w:val="auto"/>
          <w:kern w:val="2"/>
          <w:sz w:val="32"/>
          <w:szCs w:val="32"/>
        </w:rPr>
        <w:t>月</w:t>
      </w:r>
      <w:r>
        <w:rPr>
          <w:rFonts w:hint="eastAsia" w:ascii="仿宋" w:hAnsi="仿宋" w:eastAsia="仿宋" w:cs="仿宋"/>
          <w:color w:val="auto"/>
          <w:kern w:val="2"/>
          <w:sz w:val="32"/>
          <w:szCs w:val="32"/>
          <w:lang w:val="en-US" w:eastAsia="zh-CN"/>
        </w:rPr>
        <w:t>11</w:t>
      </w:r>
      <w:r>
        <w:rPr>
          <w:rFonts w:hint="eastAsia" w:ascii="仿宋" w:hAnsi="仿宋" w:eastAsia="仿宋" w:cs="仿宋"/>
          <w:color w:val="auto"/>
          <w:kern w:val="2"/>
          <w:sz w:val="32"/>
          <w:szCs w:val="32"/>
        </w:rPr>
        <w:t>日，我院201</w:t>
      </w:r>
      <w:r>
        <w:rPr>
          <w:rFonts w:hint="eastAsia" w:ascii="仿宋" w:hAnsi="仿宋" w:eastAsia="仿宋" w:cs="仿宋"/>
          <w:color w:val="auto"/>
          <w:kern w:val="2"/>
          <w:sz w:val="32"/>
          <w:szCs w:val="32"/>
          <w:lang w:val="en-US" w:eastAsia="zh-CN"/>
        </w:rPr>
        <w:t>7</w:t>
      </w:r>
      <w:r>
        <w:rPr>
          <w:rFonts w:hint="eastAsia" w:ascii="仿宋" w:hAnsi="仿宋" w:eastAsia="仿宋" w:cs="仿宋"/>
          <w:color w:val="auto"/>
          <w:kern w:val="2"/>
          <w:sz w:val="32"/>
          <w:szCs w:val="32"/>
        </w:rPr>
        <w:t>届毕业生就业人数</w:t>
      </w:r>
      <w:r>
        <w:rPr>
          <w:rFonts w:hint="eastAsia" w:ascii="仿宋" w:hAnsi="仿宋" w:eastAsia="仿宋" w:cs="仿宋"/>
          <w:color w:val="auto"/>
          <w:kern w:val="2"/>
          <w:sz w:val="32"/>
          <w:szCs w:val="32"/>
          <w:lang w:val="en-US" w:eastAsia="zh-CN"/>
        </w:rPr>
        <w:t>346</w:t>
      </w:r>
      <w:r>
        <w:rPr>
          <w:rFonts w:hint="eastAsia" w:ascii="仿宋" w:hAnsi="仿宋" w:eastAsia="仿宋" w:cs="仿宋"/>
          <w:color w:val="auto"/>
          <w:kern w:val="2"/>
          <w:sz w:val="32"/>
          <w:szCs w:val="32"/>
        </w:rPr>
        <w:t>人，就业率9</w:t>
      </w:r>
      <w:r>
        <w:rPr>
          <w:rFonts w:hint="eastAsia" w:ascii="仿宋" w:hAnsi="仿宋" w:eastAsia="仿宋" w:cs="仿宋"/>
          <w:color w:val="auto"/>
          <w:kern w:val="2"/>
          <w:sz w:val="32"/>
          <w:szCs w:val="32"/>
          <w:lang w:val="en-US" w:eastAsia="zh-CN"/>
        </w:rPr>
        <w:t>3.51</w:t>
      </w:r>
      <w:r>
        <w:rPr>
          <w:rFonts w:hint="eastAsia" w:ascii="仿宋" w:hAnsi="仿宋" w:eastAsia="仿宋" w:cs="仿宋"/>
          <w:color w:val="auto"/>
          <w:kern w:val="2"/>
          <w:sz w:val="32"/>
          <w:szCs w:val="32"/>
        </w:rPr>
        <w:t>%；待业人数2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人，占</w:t>
      </w:r>
      <w:r>
        <w:rPr>
          <w:rFonts w:hint="eastAsia" w:ascii="仿宋" w:hAnsi="仿宋" w:eastAsia="仿宋" w:cs="仿宋"/>
          <w:color w:val="auto"/>
          <w:kern w:val="2"/>
          <w:sz w:val="32"/>
          <w:szCs w:val="32"/>
          <w:lang w:val="en-US" w:eastAsia="zh-CN"/>
        </w:rPr>
        <w:t>6.49</w:t>
      </w:r>
      <w:r>
        <w:rPr>
          <w:rFonts w:hint="eastAsia" w:ascii="仿宋" w:hAnsi="仿宋" w:eastAsia="仿宋" w:cs="仿宋"/>
          <w:color w:val="auto"/>
          <w:kern w:val="2"/>
          <w:sz w:val="32"/>
          <w:szCs w:val="32"/>
        </w:rPr>
        <w:t>%。</w:t>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36" w:name="_Toc31818"/>
      <w:bookmarkStart w:id="37" w:name="_Toc1401"/>
      <w:bookmarkStart w:id="38" w:name="_Toc7352"/>
      <w:r>
        <w:rPr>
          <w:rFonts w:hint="eastAsia"/>
        </w:rPr>
        <w:t>1、毕业生各专业就业率</w:t>
      </w:r>
      <w:bookmarkEnd w:id="36"/>
      <w:bookmarkEnd w:id="37"/>
      <w:bookmarkEnd w:id="38"/>
    </w:p>
    <w:p>
      <w:pPr>
        <w:pStyle w:val="20"/>
        <w:widowControl/>
        <w:spacing w:line="360" w:lineRule="auto"/>
        <w:ind w:firstLine="0" w:firstLineChars="0"/>
        <w:jc w:val="center"/>
        <w:rPr>
          <w:rFonts w:ascii="仿宋_GB2312" w:hAnsi="微软雅黑" w:eastAsia="仿宋_GB2312" w:cs="仿宋_GB2312"/>
          <w:b/>
          <w:color w:val="000000"/>
          <w:sz w:val="24"/>
          <w:szCs w:val="24"/>
        </w:rPr>
      </w:pPr>
      <w:r>
        <w:rPr>
          <w:rFonts w:hint="eastAsia" w:ascii="仿宋_GB2312" w:hAnsi="微软雅黑" w:eastAsia="仿宋_GB2312" w:cs="仿宋_GB2312"/>
          <w:b/>
          <w:color w:val="000000"/>
          <w:sz w:val="24"/>
          <w:szCs w:val="24"/>
        </w:rPr>
        <w:t>表1.3.1 吉首大学信息科学与工程学院201</w:t>
      </w:r>
      <w:r>
        <w:rPr>
          <w:rFonts w:hint="eastAsia" w:ascii="仿宋_GB2312" w:hAnsi="微软雅黑" w:eastAsia="仿宋_GB2312" w:cs="仿宋_GB2312"/>
          <w:b/>
          <w:color w:val="000000"/>
          <w:sz w:val="24"/>
          <w:szCs w:val="24"/>
          <w:lang w:val="en-US" w:eastAsia="zh-CN"/>
        </w:rPr>
        <w:t>7</w:t>
      </w:r>
      <w:r>
        <w:rPr>
          <w:rFonts w:hint="eastAsia" w:ascii="仿宋_GB2312" w:hAnsi="微软雅黑" w:eastAsia="仿宋_GB2312" w:cs="仿宋_GB2312"/>
          <w:b/>
          <w:color w:val="000000"/>
          <w:sz w:val="24"/>
          <w:szCs w:val="24"/>
        </w:rPr>
        <w:t>届毕业生各专业就业率</w:t>
      </w:r>
    </w:p>
    <w:tbl>
      <w:tblPr>
        <w:tblStyle w:val="16"/>
        <w:tblW w:w="8522" w:type="dxa"/>
        <w:tblInd w:w="0" w:type="dxa"/>
        <w:tblLayout w:type="fixed"/>
        <w:tblCellMar>
          <w:top w:w="0" w:type="dxa"/>
          <w:left w:w="108" w:type="dxa"/>
          <w:bottom w:w="0" w:type="dxa"/>
          <w:right w:w="108" w:type="dxa"/>
        </w:tblCellMar>
      </w:tblPr>
      <w:tblGrid>
        <w:gridCol w:w="1186"/>
        <w:gridCol w:w="2857"/>
        <w:gridCol w:w="1347"/>
        <w:gridCol w:w="1720"/>
        <w:gridCol w:w="1412"/>
      </w:tblGrid>
      <w:tr>
        <w:tblPrEx>
          <w:tblLayout w:type="fixed"/>
          <w:tblCellMar>
            <w:top w:w="0" w:type="dxa"/>
            <w:left w:w="108" w:type="dxa"/>
            <w:bottom w:w="0" w:type="dxa"/>
            <w:right w:w="108" w:type="dxa"/>
          </w:tblCellMar>
        </w:tblPrEx>
        <w:trPr>
          <w:trHeight w:val="485" w:hRule="atLeast"/>
        </w:trPr>
        <w:tc>
          <w:tcPr>
            <w:tcW w:w="1186"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auto"/>
                <w:kern w:val="0"/>
                <w:szCs w:val="21"/>
              </w:rPr>
            </w:pPr>
            <w:r>
              <w:rPr>
                <w:rFonts w:hint="eastAsia" w:ascii="宋体" w:hAnsi="宋体" w:eastAsia="宋体" w:cs="宋体"/>
                <w:b/>
                <w:color w:val="auto"/>
                <w:kern w:val="0"/>
                <w:szCs w:val="21"/>
                <w:lang w:bidi="ar"/>
              </w:rPr>
              <w:t>学历层次</w:t>
            </w:r>
          </w:p>
        </w:tc>
        <w:tc>
          <w:tcPr>
            <w:tcW w:w="2857"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auto"/>
                <w:kern w:val="0"/>
                <w:szCs w:val="21"/>
              </w:rPr>
            </w:pPr>
            <w:r>
              <w:rPr>
                <w:rFonts w:hint="eastAsia" w:ascii="宋体" w:hAnsi="宋体" w:eastAsia="宋体" w:cs="宋体"/>
                <w:b/>
                <w:color w:val="auto"/>
                <w:kern w:val="0"/>
                <w:szCs w:val="21"/>
                <w:lang w:bidi="ar"/>
              </w:rPr>
              <w:t>专业名称</w:t>
            </w:r>
          </w:p>
        </w:tc>
        <w:tc>
          <w:tcPr>
            <w:tcW w:w="1347"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auto"/>
                <w:kern w:val="0"/>
                <w:szCs w:val="21"/>
              </w:rPr>
            </w:pPr>
            <w:r>
              <w:rPr>
                <w:rFonts w:hint="eastAsia" w:ascii="宋体" w:hAnsi="宋体" w:eastAsia="宋体" w:cs="宋体"/>
                <w:b/>
                <w:color w:val="auto"/>
                <w:kern w:val="0"/>
                <w:szCs w:val="21"/>
                <w:lang w:bidi="ar"/>
              </w:rPr>
              <w:t>总人数(人)</w:t>
            </w:r>
          </w:p>
        </w:tc>
        <w:tc>
          <w:tcPr>
            <w:tcW w:w="1720"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auto"/>
                <w:kern w:val="0"/>
                <w:szCs w:val="21"/>
              </w:rPr>
            </w:pPr>
            <w:r>
              <w:rPr>
                <w:rFonts w:hint="eastAsia" w:ascii="宋体" w:hAnsi="宋体" w:eastAsia="宋体" w:cs="宋体"/>
                <w:b/>
                <w:color w:val="auto"/>
                <w:kern w:val="0"/>
                <w:szCs w:val="21"/>
                <w:lang w:bidi="ar"/>
              </w:rPr>
              <w:t>就业人数(人)</w:t>
            </w:r>
          </w:p>
        </w:tc>
        <w:tc>
          <w:tcPr>
            <w:tcW w:w="141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auto"/>
                <w:kern w:val="0"/>
                <w:szCs w:val="21"/>
              </w:rPr>
            </w:pPr>
            <w:r>
              <w:rPr>
                <w:rFonts w:hint="eastAsia" w:ascii="宋体" w:hAnsi="宋体" w:eastAsia="宋体" w:cs="宋体"/>
                <w:b/>
                <w:color w:val="auto"/>
                <w:kern w:val="0"/>
                <w:szCs w:val="21"/>
                <w:lang w:bidi="ar"/>
              </w:rPr>
              <w:t>百分比(%)</w:t>
            </w:r>
          </w:p>
        </w:tc>
      </w:tr>
      <w:tr>
        <w:tblPrEx>
          <w:tblLayout w:type="fixed"/>
          <w:tblCellMar>
            <w:top w:w="0" w:type="dxa"/>
            <w:left w:w="108" w:type="dxa"/>
            <w:bottom w:w="0" w:type="dxa"/>
            <w:right w:w="108" w:type="dxa"/>
          </w:tblCellMar>
        </w:tblPrEx>
        <w:trPr>
          <w:trHeight w:val="590" w:hRule="atLeast"/>
        </w:trPr>
        <w:tc>
          <w:tcPr>
            <w:tcW w:w="1186" w:type="dxa"/>
            <w:vMerge w:val="restart"/>
            <w:tcBorders>
              <w:top w:val="single" w:color="auto" w:sz="4" w:space="0"/>
              <w:left w:val="single" w:color="auto" w:sz="4" w:space="0"/>
              <w:right w:val="single" w:color="auto" w:sz="4" w:space="0"/>
            </w:tcBorders>
            <w:shd w:val="clear" w:color="auto" w:fill="DBE5F1"/>
            <w:vAlign w:val="center"/>
          </w:tcPr>
          <w:p>
            <w:pPr>
              <w:widowControl/>
              <w:spacing w:line="360" w:lineRule="auto"/>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bidi="ar"/>
              </w:rPr>
              <w:t>本</w:t>
            </w:r>
          </w:p>
          <w:p>
            <w:pPr>
              <w:widowControl/>
              <w:spacing w:line="360" w:lineRule="auto"/>
              <w:jc w:val="center"/>
              <w:rPr>
                <w:rFonts w:ascii="宋体" w:hAnsi="宋体" w:eastAsia="宋体" w:cs="宋体"/>
                <w:color w:val="auto"/>
                <w:kern w:val="0"/>
                <w:sz w:val="18"/>
                <w:szCs w:val="18"/>
              </w:rPr>
            </w:pPr>
          </w:p>
          <w:p>
            <w:pPr>
              <w:widowControl/>
              <w:spacing w:line="360" w:lineRule="auto"/>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bidi="ar"/>
              </w:rPr>
              <w:t>科</w:t>
            </w:r>
          </w:p>
        </w:tc>
        <w:tc>
          <w:tcPr>
            <w:tcW w:w="285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eastAsia="zh-CN"/>
              </w:rPr>
              <w:t>电子信息工程专业</w:t>
            </w:r>
          </w:p>
        </w:tc>
        <w:tc>
          <w:tcPr>
            <w:tcW w:w="13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eastAsia="zh-CN"/>
              </w:rPr>
            </w:pPr>
            <w:r>
              <w:rPr>
                <w:rFonts w:hint="eastAsia"/>
                <w:lang w:val="en-US" w:eastAsia="zh-CN"/>
              </w:rPr>
              <w:t>106</w:t>
            </w:r>
          </w:p>
        </w:tc>
        <w:tc>
          <w:tcPr>
            <w:tcW w:w="1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val="en-US" w:eastAsia="zh-CN"/>
              </w:rPr>
            </w:pPr>
            <w:r>
              <w:rPr>
                <w:rFonts w:hint="eastAsia"/>
                <w:lang w:val="en-US" w:eastAsia="zh-CN"/>
              </w:rPr>
              <w:t>97</w:t>
            </w:r>
          </w:p>
        </w:tc>
        <w:tc>
          <w:tcPr>
            <w:tcW w:w="141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91.51%</w:t>
            </w:r>
          </w:p>
        </w:tc>
      </w:tr>
      <w:tr>
        <w:tblPrEx>
          <w:tblLayout w:type="fixed"/>
          <w:tblCellMar>
            <w:top w:w="0" w:type="dxa"/>
            <w:left w:w="108" w:type="dxa"/>
            <w:bottom w:w="0" w:type="dxa"/>
            <w:right w:w="108" w:type="dxa"/>
          </w:tblCellMar>
        </w:tblPrEx>
        <w:trPr>
          <w:trHeight w:val="590" w:hRule="atLeast"/>
        </w:trPr>
        <w:tc>
          <w:tcPr>
            <w:tcW w:w="1186" w:type="dxa"/>
            <w:vMerge w:val="continue"/>
            <w:tcBorders>
              <w:left w:val="single" w:color="auto" w:sz="4" w:space="0"/>
              <w:right w:val="single" w:color="auto" w:sz="4" w:space="0"/>
            </w:tcBorders>
            <w:shd w:val="clear" w:color="auto" w:fill="DBE5F1"/>
            <w:vAlign w:val="center"/>
          </w:tcPr>
          <w:p>
            <w:pPr>
              <w:jc w:val="center"/>
              <w:rPr>
                <w:rFonts w:ascii="Times New Roman" w:hAnsi="Times New Roman" w:eastAsia="Times New Roman" w:cs="Times New Roman"/>
                <w:color w:val="auto"/>
                <w:sz w:val="20"/>
                <w:szCs w:val="20"/>
              </w:rPr>
            </w:pPr>
          </w:p>
        </w:tc>
        <w:tc>
          <w:tcPr>
            <w:tcW w:w="285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eastAsia="zh-CN"/>
              </w:rPr>
              <w:t>网络工程专业</w:t>
            </w:r>
          </w:p>
        </w:tc>
        <w:tc>
          <w:tcPr>
            <w:tcW w:w="13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eastAsia="zh-CN"/>
              </w:rPr>
            </w:pPr>
            <w:r>
              <w:rPr>
                <w:rFonts w:hint="eastAsia"/>
                <w:lang w:val="en-US" w:eastAsia="zh-CN"/>
              </w:rPr>
              <w:t>54</w:t>
            </w:r>
          </w:p>
        </w:tc>
        <w:tc>
          <w:tcPr>
            <w:tcW w:w="1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49</w:t>
            </w:r>
          </w:p>
        </w:tc>
        <w:tc>
          <w:tcPr>
            <w:tcW w:w="141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90.74%</w:t>
            </w:r>
          </w:p>
        </w:tc>
      </w:tr>
      <w:tr>
        <w:tblPrEx>
          <w:tblLayout w:type="fixed"/>
          <w:tblCellMar>
            <w:top w:w="0" w:type="dxa"/>
            <w:left w:w="108" w:type="dxa"/>
            <w:bottom w:w="0" w:type="dxa"/>
            <w:right w:w="108" w:type="dxa"/>
          </w:tblCellMar>
        </w:tblPrEx>
        <w:trPr>
          <w:trHeight w:val="590" w:hRule="atLeast"/>
        </w:trPr>
        <w:tc>
          <w:tcPr>
            <w:tcW w:w="1186" w:type="dxa"/>
            <w:vMerge w:val="continue"/>
            <w:tcBorders>
              <w:left w:val="single" w:color="auto" w:sz="4" w:space="0"/>
              <w:right w:val="single" w:color="auto" w:sz="4" w:space="0"/>
            </w:tcBorders>
            <w:shd w:val="clear" w:color="auto" w:fill="auto"/>
          </w:tcPr>
          <w:p>
            <w:pPr>
              <w:jc w:val="center"/>
              <w:rPr>
                <w:rFonts w:ascii="Times New Roman" w:hAnsi="Times New Roman" w:eastAsia="Times New Roman" w:cs="Times New Roman"/>
                <w:color w:val="auto"/>
                <w:sz w:val="20"/>
                <w:szCs w:val="20"/>
              </w:rPr>
            </w:pPr>
          </w:p>
        </w:tc>
        <w:tc>
          <w:tcPr>
            <w:tcW w:w="285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eastAsia="zh-CN"/>
              </w:rPr>
              <w:t>通信工程专业</w:t>
            </w:r>
          </w:p>
        </w:tc>
        <w:tc>
          <w:tcPr>
            <w:tcW w:w="13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eastAsia="zh-CN"/>
              </w:rPr>
            </w:pPr>
            <w:r>
              <w:rPr>
                <w:rFonts w:hint="eastAsia"/>
                <w:lang w:val="en-US" w:eastAsia="zh-CN"/>
              </w:rPr>
              <w:t>84</w:t>
            </w:r>
          </w:p>
        </w:tc>
        <w:tc>
          <w:tcPr>
            <w:tcW w:w="1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77</w:t>
            </w:r>
          </w:p>
        </w:tc>
        <w:tc>
          <w:tcPr>
            <w:tcW w:w="141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91.66%</w:t>
            </w:r>
          </w:p>
        </w:tc>
      </w:tr>
      <w:tr>
        <w:tblPrEx>
          <w:tblLayout w:type="fixed"/>
          <w:tblCellMar>
            <w:top w:w="0" w:type="dxa"/>
            <w:left w:w="108" w:type="dxa"/>
            <w:bottom w:w="0" w:type="dxa"/>
            <w:right w:w="108" w:type="dxa"/>
          </w:tblCellMar>
        </w:tblPrEx>
        <w:trPr>
          <w:trHeight w:val="590" w:hRule="atLeast"/>
        </w:trPr>
        <w:tc>
          <w:tcPr>
            <w:tcW w:w="1186" w:type="dxa"/>
            <w:vMerge w:val="continue"/>
            <w:tcBorders>
              <w:left w:val="single" w:color="auto" w:sz="4" w:space="0"/>
              <w:right w:val="single" w:color="auto" w:sz="4" w:space="0"/>
            </w:tcBorders>
            <w:shd w:val="clear" w:color="auto" w:fill="auto"/>
          </w:tcPr>
          <w:p>
            <w:pPr>
              <w:jc w:val="center"/>
              <w:rPr>
                <w:rFonts w:ascii="Times New Roman" w:hAnsi="Times New Roman" w:eastAsia="Times New Roman" w:cs="Times New Roman"/>
                <w:color w:val="auto"/>
                <w:sz w:val="20"/>
                <w:szCs w:val="20"/>
              </w:rPr>
            </w:pPr>
          </w:p>
        </w:tc>
        <w:tc>
          <w:tcPr>
            <w:tcW w:w="285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eastAsia="zh-CN"/>
              </w:rPr>
              <w:t>计算机科学与技术专业</w:t>
            </w:r>
          </w:p>
        </w:tc>
        <w:tc>
          <w:tcPr>
            <w:tcW w:w="13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eastAsia="zh-CN"/>
              </w:rPr>
            </w:pPr>
            <w:r>
              <w:rPr>
                <w:rFonts w:hint="eastAsia"/>
                <w:lang w:val="en-US" w:eastAsia="zh-CN"/>
              </w:rPr>
              <w:t>68</w:t>
            </w:r>
          </w:p>
        </w:tc>
        <w:tc>
          <w:tcPr>
            <w:tcW w:w="1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67</w:t>
            </w:r>
          </w:p>
        </w:tc>
        <w:tc>
          <w:tcPr>
            <w:tcW w:w="141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98.52%</w:t>
            </w:r>
          </w:p>
        </w:tc>
      </w:tr>
      <w:tr>
        <w:tblPrEx>
          <w:tblLayout w:type="fixed"/>
          <w:tblCellMar>
            <w:top w:w="0" w:type="dxa"/>
            <w:left w:w="108" w:type="dxa"/>
            <w:bottom w:w="0" w:type="dxa"/>
            <w:right w:w="108" w:type="dxa"/>
          </w:tblCellMar>
        </w:tblPrEx>
        <w:trPr>
          <w:trHeight w:val="590" w:hRule="atLeast"/>
        </w:trPr>
        <w:tc>
          <w:tcPr>
            <w:tcW w:w="1186" w:type="dxa"/>
            <w:vMerge w:val="continue"/>
            <w:tcBorders>
              <w:left w:val="single" w:color="auto" w:sz="4" w:space="0"/>
              <w:bottom w:val="single" w:color="auto" w:sz="4" w:space="0"/>
              <w:right w:val="single" w:color="auto" w:sz="4" w:space="0"/>
            </w:tcBorders>
            <w:shd w:val="clear" w:color="auto" w:fill="auto"/>
          </w:tcPr>
          <w:p>
            <w:pPr>
              <w:jc w:val="center"/>
              <w:rPr>
                <w:rFonts w:ascii="Times New Roman" w:hAnsi="Times New Roman" w:eastAsia="Times New Roman" w:cs="Times New Roman"/>
                <w:color w:val="auto"/>
                <w:sz w:val="20"/>
                <w:szCs w:val="20"/>
              </w:rPr>
            </w:pPr>
          </w:p>
        </w:tc>
        <w:tc>
          <w:tcPr>
            <w:tcW w:w="285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eastAsia="zh-CN"/>
              </w:rPr>
            </w:pPr>
            <w:r>
              <w:rPr>
                <w:rFonts w:hint="eastAsia"/>
                <w:lang w:eastAsia="zh-CN"/>
              </w:rPr>
              <w:t>电气工程及其自动化专业</w:t>
            </w:r>
          </w:p>
        </w:tc>
        <w:tc>
          <w:tcPr>
            <w:tcW w:w="134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lang w:val="en-US" w:eastAsia="zh-CN"/>
              </w:rPr>
            </w:pPr>
            <w:r>
              <w:rPr>
                <w:rFonts w:hint="eastAsia"/>
                <w:lang w:val="en-US" w:eastAsia="zh-CN"/>
              </w:rPr>
              <w:t>58</w:t>
            </w:r>
          </w:p>
        </w:tc>
        <w:tc>
          <w:tcPr>
            <w:tcW w:w="1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56</w:t>
            </w:r>
          </w:p>
        </w:tc>
        <w:tc>
          <w:tcPr>
            <w:tcW w:w="141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rPr>
            </w:pPr>
            <w:r>
              <w:rPr>
                <w:rFonts w:hint="eastAsia"/>
                <w:lang w:val="en-US" w:eastAsia="zh-CN"/>
              </w:rPr>
              <w:t>96.55%</w:t>
            </w:r>
          </w:p>
        </w:tc>
      </w:tr>
    </w:tbl>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39" w:name="_Toc22077"/>
      <w:bookmarkStart w:id="40" w:name="_Toc9260"/>
      <w:bookmarkStart w:id="41" w:name="_Toc5391"/>
      <w:bookmarkStart w:id="42" w:name="_Toc28727"/>
      <w:r>
        <w:rPr>
          <w:rFonts w:hint="eastAsia"/>
        </w:rPr>
        <w:t>2、毕业生分户口类别就业率</w:t>
      </w:r>
      <w:bookmarkEnd w:id="39"/>
      <w:bookmarkEnd w:id="40"/>
      <w:bookmarkEnd w:id="41"/>
      <w:bookmarkEnd w:id="42"/>
    </w:p>
    <w:p>
      <w:pPr>
        <w:pStyle w:val="11"/>
        <w:spacing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我院201</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届城镇户口毕业生</w:t>
      </w:r>
      <w:r>
        <w:rPr>
          <w:rFonts w:hint="eastAsia" w:ascii="仿宋" w:hAnsi="仿宋" w:eastAsia="仿宋" w:cs="仿宋"/>
          <w:kern w:val="2"/>
          <w:sz w:val="32"/>
          <w:szCs w:val="32"/>
          <w:lang w:val="en-US" w:eastAsia="zh-CN"/>
        </w:rPr>
        <w:t>107</w:t>
      </w:r>
      <w:r>
        <w:rPr>
          <w:rFonts w:hint="eastAsia" w:ascii="仿宋" w:hAnsi="仿宋" w:eastAsia="仿宋" w:cs="仿宋"/>
          <w:kern w:val="2"/>
          <w:sz w:val="32"/>
          <w:szCs w:val="32"/>
        </w:rPr>
        <w:t>人，</w:t>
      </w:r>
      <w:r>
        <w:rPr>
          <w:rFonts w:hint="eastAsia" w:ascii="仿宋" w:hAnsi="仿宋" w:eastAsia="仿宋" w:cs="仿宋"/>
          <w:kern w:val="2"/>
          <w:sz w:val="32"/>
          <w:szCs w:val="32"/>
          <w:lang w:eastAsia="zh-CN"/>
        </w:rPr>
        <w:t>已就业人数</w:t>
      </w:r>
      <w:r>
        <w:rPr>
          <w:rFonts w:hint="eastAsia" w:ascii="仿宋" w:hAnsi="仿宋" w:eastAsia="仿宋" w:cs="仿宋"/>
          <w:kern w:val="2"/>
          <w:sz w:val="32"/>
          <w:szCs w:val="32"/>
          <w:lang w:val="en-US" w:eastAsia="zh-CN"/>
        </w:rPr>
        <w:t>98，</w:t>
      </w:r>
      <w:r>
        <w:rPr>
          <w:rFonts w:hint="eastAsia" w:ascii="仿宋" w:hAnsi="仿宋" w:eastAsia="仿宋" w:cs="仿宋"/>
          <w:kern w:val="2"/>
          <w:sz w:val="32"/>
          <w:szCs w:val="32"/>
        </w:rPr>
        <w:t>就业率</w:t>
      </w:r>
      <w:r>
        <w:rPr>
          <w:rFonts w:hint="eastAsia" w:ascii="仿宋" w:hAnsi="仿宋" w:eastAsia="仿宋" w:cs="仿宋"/>
          <w:color w:val="auto"/>
          <w:kern w:val="2"/>
          <w:sz w:val="32"/>
          <w:szCs w:val="32"/>
          <w:lang w:val="en-US" w:eastAsia="zh-CN"/>
        </w:rPr>
        <w:t>91.59%</w:t>
      </w:r>
      <w:r>
        <w:rPr>
          <w:rFonts w:hint="eastAsia" w:ascii="仿宋" w:hAnsi="仿宋" w:eastAsia="仿宋" w:cs="仿宋"/>
          <w:kern w:val="2"/>
          <w:sz w:val="32"/>
          <w:szCs w:val="32"/>
        </w:rPr>
        <w:t>，农村户口毕业生有</w:t>
      </w:r>
      <w:r>
        <w:rPr>
          <w:rFonts w:hint="eastAsia" w:ascii="仿宋" w:hAnsi="仿宋" w:eastAsia="仿宋" w:cs="仿宋"/>
          <w:kern w:val="2"/>
          <w:sz w:val="32"/>
          <w:szCs w:val="32"/>
          <w:lang w:val="en-US" w:eastAsia="zh-CN"/>
        </w:rPr>
        <w:t>263</w:t>
      </w:r>
      <w:r>
        <w:rPr>
          <w:rFonts w:hint="eastAsia" w:ascii="仿宋" w:hAnsi="仿宋" w:eastAsia="仿宋" w:cs="仿宋"/>
          <w:kern w:val="2"/>
          <w:sz w:val="32"/>
          <w:szCs w:val="32"/>
        </w:rPr>
        <w:t>人，</w:t>
      </w:r>
      <w:r>
        <w:rPr>
          <w:rFonts w:hint="eastAsia" w:ascii="仿宋" w:hAnsi="仿宋" w:eastAsia="仿宋" w:cs="仿宋"/>
          <w:kern w:val="2"/>
          <w:sz w:val="32"/>
          <w:szCs w:val="32"/>
          <w:lang w:eastAsia="zh-CN"/>
        </w:rPr>
        <w:t>已就业人数</w:t>
      </w:r>
      <w:r>
        <w:rPr>
          <w:rFonts w:hint="eastAsia" w:ascii="仿宋" w:hAnsi="仿宋" w:eastAsia="仿宋" w:cs="仿宋"/>
          <w:kern w:val="2"/>
          <w:sz w:val="32"/>
          <w:szCs w:val="32"/>
          <w:lang w:val="en-US" w:eastAsia="zh-CN"/>
        </w:rPr>
        <w:t>248，</w:t>
      </w:r>
      <w:r>
        <w:rPr>
          <w:rFonts w:hint="eastAsia" w:ascii="仿宋" w:hAnsi="仿宋" w:eastAsia="仿宋" w:cs="仿宋"/>
          <w:kern w:val="2"/>
          <w:sz w:val="32"/>
          <w:szCs w:val="32"/>
        </w:rPr>
        <w:t>就业率</w:t>
      </w:r>
      <w:r>
        <w:rPr>
          <w:rFonts w:hint="eastAsia" w:ascii="仿宋" w:hAnsi="仿宋" w:eastAsia="仿宋" w:cs="仿宋"/>
          <w:kern w:val="2"/>
          <w:sz w:val="32"/>
          <w:szCs w:val="32"/>
          <w:lang w:val="en-US" w:eastAsia="zh-CN"/>
        </w:rPr>
        <w:t>94.30%</w:t>
      </w:r>
      <w:r>
        <w:rPr>
          <w:rFonts w:hint="eastAsia" w:ascii="仿宋" w:hAnsi="仿宋" w:eastAsia="仿宋" w:cs="仿宋"/>
          <w:kern w:val="2"/>
          <w:sz w:val="32"/>
          <w:szCs w:val="32"/>
        </w:rPr>
        <w:t>。详见表1.3.2。</w:t>
      </w:r>
    </w:p>
    <w:p>
      <w:pPr>
        <w:pStyle w:val="11"/>
        <w:spacing w:line="360" w:lineRule="auto"/>
        <w:jc w:val="both"/>
        <w:rPr>
          <w:rFonts w:ascii="仿宋_GB2312" w:hAnsi="微软雅黑" w:eastAsia="仿宋_GB2312" w:cs="仿宋_GB2312"/>
          <w:b/>
          <w:color w:val="000000"/>
        </w:rPr>
      </w:pPr>
      <w:r>
        <w:rPr>
          <w:rFonts w:hint="eastAsia" w:ascii="仿宋_GB2312" w:hAnsi="微软雅黑" w:eastAsia="仿宋_GB2312" w:cs="仿宋_GB2312"/>
          <w:b/>
          <w:color w:val="000000"/>
          <w:kern w:val="2"/>
          <w:lang w:bidi="ar"/>
        </w:rPr>
        <w:t xml:space="preserve">   </w:t>
      </w:r>
      <w:r>
        <w:rPr>
          <w:rFonts w:hint="eastAsia" w:ascii="仿宋_GB2312" w:hAnsi="微软雅黑" w:eastAsia="仿宋_GB2312" w:cs="仿宋_GB2312"/>
          <w:b/>
          <w:color w:val="000000"/>
          <w:kern w:val="2"/>
          <w:lang w:val="en-US" w:eastAsia="zh-CN" w:bidi="ar"/>
        </w:rPr>
        <w:t xml:space="preserve">   </w:t>
      </w:r>
      <w:r>
        <w:rPr>
          <w:rFonts w:hint="eastAsia" w:ascii="仿宋_GB2312" w:hAnsi="微软雅黑" w:eastAsia="仿宋_GB2312" w:cs="仿宋_GB2312"/>
          <w:b/>
          <w:color w:val="000000"/>
          <w:kern w:val="2"/>
          <w:lang w:bidi="ar"/>
        </w:rPr>
        <w:t>表1.3.2吉首大学信息科学与工程学院201</w:t>
      </w:r>
      <w:r>
        <w:rPr>
          <w:rFonts w:hint="eastAsia" w:ascii="仿宋_GB2312" w:hAnsi="微软雅黑" w:eastAsia="仿宋_GB2312" w:cs="仿宋_GB2312"/>
          <w:b/>
          <w:color w:val="000000"/>
          <w:kern w:val="2"/>
          <w:lang w:val="en-US" w:eastAsia="zh-CN" w:bidi="ar"/>
        </w:rPr>
        <w:t>7</w:t>
      </w:r>
      <w:r>
        <w:rPr>
          <w:rFonts w:hint="eastAsia" w:ascii="仿宋_GB2312" w:hAnsi="微软雅黑" w:eastAsia="仿宋_GB2312" w:cs="仿宋_GB2312"/>
          <w:b/>
          <w:color w:val="000000"/>
          <w:kern w:val="2"/>
          <w:lang w:bidi="ar"/>
        </w:rPr>
        <w:t>届毕业生分户口就业率</w:t>
      </w:r>
    </w:p>
    <w:tbl>
      <w:tblPr>
        <w:tblStyle w:val="16"/>
        <w:tblW w:w="85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6"/>
        <w:gridCol w:w="1650"/>
        <w:gridCol w:w="1550"/>
        <w:gridCol w:w="1713"/>
        <w:gridCol w:w="18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5" w:hRule="atLeast"/>
          <w:jc w:val="center"/>
        </w:trPr>
        <w:tc>
          <w:tcPr>
            <w:tcW w:w="1806"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学历层次</w:t>
            </w:r>
          </w:p>
        </w:tc>
        <w:tc>
          <w:tcPr>
            <w:tcW w:w="1650"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Arial"/>
                <w:b/>
                <w:kern w:val="0"/>
                <w:sz w:val="24"/>
              </w:rPr>
            </w:pPr>
            <w:r>
              <w:rPr>
                <w:rFonts w:hint="eastAsia" w:ascii="宋体" w:hAnsi="宋体" w:eastAsia="宋体" w:cs="Arial"/>
                <w:b/>
                <w:kern w:val="0"/>
                <w:sz w:val="24"/>
                <w:lang w:bidi="ar"/>
              </w:rPr>
              <w:t>户口类别</w:t>
            </w:r>
          </w:p>
        </w:tc>
        <w:tc>
          <w:tcPr>
            <w:tcW w:w="1550"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毕业生人数（人）</w:t>
            </w:r>
          </w:p>
        </w:tc>
        <w:tc>
          <w:tcPr>
            <w:tcW w:w="1713"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已就业人数（人）</w:t>
            </w:r>
          </w:p>
        </w:tc>
        <w:tc>
          <w:tcPr>
            <w:tcW w:w="1841"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就业率（%）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806" w:type="dxa"/>
            <w:vMerge w:val="restart"/>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本科毕业生</w:t>
            </w:r>
          </w:p>
        </w:tc>
        <w:tc>
          <w:tcPr>
            <w:tcW w:w="1650"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城镇</w:t>
            </w:r>
          </w:p>
        </w:tc>
        <w:tc>
          <w:tcPr>
            <w:tcW w:w="1550"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107</w:t>
            </w:r>
          </w:p>
        </w:tc>
        <w:tc>
          <w:tcPr>
            <w:tcW w:w="1713"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98</w:t>
            </w:r>
          </w:p>
        </w:tc>
        <w:tc>
          <w:tcPr>
            <w:tcW w:w="184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91.59%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806" w:type="dxa"/>
            <w:vMerge w:val="continue"/>
            <w:tcBorders>
              <w:top w:val="single" w:color="auto" w:sz="8" w:space="0"/>
              <w:left w:val="single" w:color="auto" w:sz="8" w:space="0"/>
              <w:bottom w:val="single" w:color="auto" w:sz="8" w:space="0"/>
              <w:right w:val="single" w:color="auto" w:sz="8" w:space="0"/>
            </w:tcBorders>
            <w:shd w:val="clear" w:color="auto" w:fill="DBE5F1"/>
            <w:vAlign w:val="center"/>
          </w:tcPr>
          <w:p>
            <w:pPr>
              <w:rPr>
                <w:rFonts w:ascii="Times New Roman" w:hAnsi="Times New Roman" w:eastAsia="Times New Roman" w:cs="Times New Roman"/>
                <w:sz w:val="20"/>
                <w:szCs w:val="20"/>
              </w:rPr>
            </w:pPr>
          </w:p>
        </w:tc>
        <w:tc>
          <w:tcPr>
            <w:tcW w:w="1650"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农村</w:t>
            </w:r>
          </w:p>
        </w:tc>
        <w:tc>
          <w:tcPr>
            <w:tcW w:w="1550"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263</w:t>
            </w:r>
          </w:p>
        </w:tc>
        <w:tc>
          <w:tcPr>
            <w:tcW w:w="1713"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248</w:t>
            </w:r>
          </w:p>
        </w:tc>
        <w:tc>
          <w:tcPr>
            <w:tcW w:w="184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94.30%</w:t>
            </w:r>
          </w:p>
        </w:tc>
      </w:tr>
    </w:tbl>
    <w:p>
      <w:pPr>
        <w:pStyle w:val="4"/>
        <w:keepNext/>
        <w:keepLines/>
        <w:pageBreakBefore w:val="0"/>
        <w:widowControl w:val="0"/>
        <w:kinsoku/>
        <w:wordWrap/>
        <w:overflowPunct/>
        <w:topLinePunct w:val="0"/>
        <w:autoSpaceDE/>
        <w:autoSpaceDN/>
        <w:bidi w:val="0"/>
        <w:adjustRightInd/>
        <w:snapToGrid/>
        <w:spacing w:before="0" w:after="0" w:line="360" w:lineRule="auto"/>
        <w:ind w:right="0" w:rightChars="0"/>
        <w:jc w:val="both"/>
        <w:textAlignment w:val="auto"/>
        <w:outlineLvl w:val="2"/>
        <w:rPr>
          <w:rFonts w:hint="eastAsia"/>
        </w:rPr>
      </w:pPr>
      <w:bookmarkStart w:id="43" w:name="_Toc17037"/>
      <w:bookmarkStart w:id="44" w:name="_Toc11350"/>
      <w:bookmarkStart w:id="45" w:name="_Toc7936"/>
      <w:bookmarkStart w:id="46" w:name="_Toc1522"/>
    </w:p>
    <w:p>
      <w:pPr>
        <w:pStyle w:val="4"/>
        <w:keepNext/>
        <w:keepLines/>
        <w:pageBreakBefore w:val="0"/>
        <w:widowControl w:val="0"/>
        <w:kinsoku/>
        <w:wordWrap/>
        <w:overflowPunct/>
        <w:topLinePunct w:val="0"/>
        <w:autoSpaceDE/>
        <w:autoSpaceDN/>
        <w:bidi w:val="0"/>
        <w:adjustRightInd/>
        <w:snapToGrid/>
        <w:spacing w:before="0" w:after="0" w:line="360" w:lineRule="auto"/>
        <w:ind w:right="0" w:rightChars="0"/>
        <w:jc w:val="both"/>
        <w:textAlignment w:val="auto"/>
        <w:outlineLvl w:val="2"/>
        <w:rPr>
          <w:rFonts w:hint="eastAsia"/>
        </w:rPr>
      </w:pPr>
      <w:r>
        <w:rPr>
          <w:rFonts w:hint="eastAsia"/>
        </w:rPr>
        <w:t>3、少数民族毕业生就业率</w:t>
      </w:r>
      <w:bookmarkEnd w:id="43"/>
      <w:bookmarkEnd w:id="44"/>
      <w:bookmarkEnd w:id="45"/>
      <w:bookmarkEnd w:id="46"/>
    </w:p>
    <w:p>
      <w:pPr>
        <w:rPr>
          <w:rFonts w:ascii="仿宋" w:hAnsi="仿宋" w:eastAsia="仿宋" w:cs="仿宋"/>
          <w:sz w:val="32"/>
          <w:szCs w:val="32"/>
        </w:rPr>
      </w:pPr>
      <w:r>
        <w:rPr>
          <w:rFonts w:hint="eastAsia" w:ascii="仿宋" w:hAnsi="仿宋" w:eastAsia="仿宋" w:cs="仿宋"/>
          <w:sz w:val="32"/>
          <w:szCs w:val="32"/>
        </w:rPr>
        <w:t xml:space="preserve">    我院201</w:t>
      </w:r>
      <w:r>
        <w:rPr>
          <w:rFonts w:hint="eastAsia" w:ascii="仿宋" w:hAnsi="仿宋" w:eastAsia="仿宋" w:cs="仿宋"/>
          <w:sz w:val="32"/>
          <w:szCs w:val="32"/>
          <w:lang w:val="en-US" w:eastAsia="zh-CN"/>
        </w:rPr>
        <w:t>7</w:t>
      </w:r>
      <w:r>
        <w:rPr>
          <w:rFonts w:hint="eastAsia" w:ascii="仿宋" w:hAnsi="仿宋" w:eastAsia="仿宋" w:cs="仿宋"/>
          <w:sz w:val="32"/>
          <w:szCs w:val="32"/>
        </w:rPr>
        <w:t>届汉族毕业生</w:t>
      </w:r>
      <w:r>
        <w:rPr>
          <w:rFonts w:hint="eastAsia" w:ascii="仿宋" w:hAnsi="仿宋" w:eastAsia="仿宋" w:cs="仿宋"/>
          <w:sz w:val="32"/>
          <w:szCs w:val="32"/>
          <w:lang w:val="en-US" w:eastAsia="zh-CN"/>
        </w:rPr>
        <w:t>287</w:t>
      </w:r>
      <w:r>
        <w:rPr>
          <w:rFonts w:hint="eastAsia" w:ascii="仿宋" w:hAnsi="仿宋" w:eastAsia="仿宋" w:cs="仿宋"/>
          <w:sz w:val="32"/>
          <w:szCs w:val="32"/>
        </w:rPr>
        <w:t>人，</w:t>
      </w:r>
      <w:r>
        <w:rPr>
          <w:rFonts w:hint="eastAsia" w:ascii="仿宋" w:hAnsi="仿宋" w:eastAsia="仿宋" w:cs="仿宋"/>
          <w:kern w:val="2"/>
          <w:sz w:val="32"/>
          <w:szCs w:val="32"/>
          <w:lang w:eastAsia="zh-CN"/>
        </w:rPr>
        <w:t>已就业人数</w:t>
      </w:r>
      <w:r>
        <w:rPr>
          <w:rFonts w:hint="eastAsia" w:ascii="仿宋" w:hAnsi="仿宋" w:eastAsia="仿宋" w:cs="仿宋"/>
          <w:kern w:val="2"/>
          <w:sz w:val="32"/>
          <w:szCs w:val="32"/>
          <w:lang w:val="en-US" w:eastAsia="zh-CN"/>
        </w:rPr>
        <w:t>272，</w:t>
      </w:r>
      <w:r>
        <w:rPr>
          <w:rFonts w:hint="eastAsia" w:ascii="仿宋" w:hAnsi="仿宋" w:eastAsia="仿宋" w:cs="仿宋"/>
          <w:sz w:val="32"/>
          <w:szCs w:val="32"/>
        </w:rPr>
        <w:t>就业率</w:t>
      </w:r>
      <w:r>
        <w:rPr>
          <w:rFonts w:hint="eastAsia" w:ascii="仿宋" w:hAnsi="仿宋" w:eastAsia="仿宋" w:cs="仿宋"/>
          <w:sz w:val="32"/>
          <w:szCs w:val="32"/>
          <w:lang w:val="en-US" w:eastAsia="zh-CN"/>
        </w:rPr>
        <w:t>94.77%</w:t>
      </w:r>
      <w:r>
        <w:rPr>
          <w:rFonts w:hint="eastAsia" w:ascii="仿宋" w:hAnsi="仿宋" w:eastAsia="仿宋" w:cs="仿宋"/>
          <w:sz w:val="32"/>
          <w:szCs w:val="32"/>
        </w:rPr>
        <w:t>，少数民族毕业生</w:t>
      </w:r>
      <w:r>
        <w:rPr>
          <w:rFonts w:hint="eastAsia" w:ascii="仿宋" w:hAnsi="仿宋" w:eastAsia="仿宋" w:cs="仿宋"/>
          <w:sz w:val="32"/>
          <w:szCs w:val="32"/>
          <w:lang w:val="en-US" w:eastAsia="zh-CN"/>
        </w:rPr>
        <w:t>83</w:t>
      </w:r>
      <w:r>
        <w:rPr>
          <w:rFonts w:hint="eastAsia" w:ascii="仿宋" w:hAnsi="仿宋" w:eastAsia="仿宋" w:cs="仿宋"/>
          <w:sz w:val="32"/>
          <w:szCs w:val="32"/>
        </w:rPr>
        <w:t>人，</w:t>
      </w:r>
      <w:r>
        <w:rPr>
          <w:rFonts w:hint="eastAsia" w:ascii="仿宋" w:hAnsi="仿宋" w:eastAsia="仿宋" w:cs="仿宋"/>
          <w:kern w:val="2"/>
          <w:sz w:val="32"/>
          <w:szCs w:val="32"/>
          <w:lang w:eastAsia="zh-CN"/>
        </w:rPr>
        <w:t>已就业人数</w:t>
      </w:r>
      <w:r>
        <w:rPr>
          <w:rFonts w:hint="eastAsia" w:ascii="仿宋" w:hAnsi="仿宋" w:eastAsia="仿宋" w:cs="仿宋"/>
          <w:kern w:val="2"/>
          <w:sz w:val="32"/>
          <w:szCs w:val="32"/>
          <w:lang w:val="en-US" w:eastAsia="zh-CN"/>
        </w:rPr>
        <w:t>74，</w:t>
      </w:r>
      <w:r>
        <w:rPr>
          <w:rFonts w:hint="eastAsia" w:ascii="仿宋" w:hAnsi="仿宋" w:eastAsia="仿宋" w:cs="仿宋"/>
          <w:sz w:val="32"/>
          <w:szCs w:val="32"/>
        </w:rPr>
        <w:t>就业率为</w:t>
      </w:r>
      <w:r>
        <w:rPr>
          <w:rFonts w:hint="eastAsia" w:ascii="仿宋" w:hAnsi="仿宋" w:eastAsia="仿宋" w:cs="仿宋"/>
          <w:sz w:val="32"/>
          <w:szCs w:val="32"/>
          <w:lang w:val="en-US" w:eastAsia="zh-CN"/>
        </w:rPr>
        <w:t>89.16%</w:t>
      </w:r>
      <w:r>
        <w:rPr>
          <w:rFonts w:hint="eastAsia" w:ascii="仿宋" w:hAnsi="仿宋" w:eastAsia="仿宋" w:cs="仿宋"/>
          <w:sz w:val="32"/>
          <w:szCs w:val="32"/>
        </w:rPr>
        <w:t>。详见表1.3.3。</w:t>
      </w:r>
    </w:p>
    <w:p>
      <w:pPr>
        <w:pStyle w:val="11"/>
        <w:spacing w:line="360" w:lineRule="auto"/>
        <w:jc w:val="center"/>
        <w:rPr>
          <w:rFonts w:ascii="仿宋_GB2312" w:hAnsi="微软雅黑" w:eastAsia="仿宋_GB2312" w:cs="仿宋_GB2312"/>
          <w:b/>
          <w:color w:val="000000"/>
        </w:rPr>
      </w:pPr>
      <w:r>
        <w:rPr>
          <w:rFonts w:hint="eastAsia" w:ascii="仿宋_GB2312" w:hAnsi="微软雅黑" w:eastAsia="仿宋_GB2312" w:cs="仿宋_GB2312"/>
          <w:b/>
          <w:color w:val="000000"/>
          <w:kern w:val="2"/>
          <w:lang w:bidi="ar"/>
        </w:rPr>
        <w:t>表1.3.3吉首大学信息科学与工程学院201</w:t>
      </w:r>
      <w:r>
        <w:rPr>
          <w:rFonts w:hint="eastAsia" w:ascii="仿宋_GB2312" w:hAnsi="微软雅黑" w:eastAsia="仿宋_GB2312" w:cs="仿宋_GB2312"/>
          <w:b/>
          <w:color w:val="000000"/>
          <w:kern w:val="2"/>
          <w:lang w:val="en-US" w:eastAsia="zh-CN" w:bidi="ar"/>
        </w:rPr>
        <w:t>7</w:t>
      </w:r>
      <w:r>
        <w:rPr>
          <w:rFonts w:hint="eastAsia" w:ascii="仿宋_GB2312" w:hAnsi="微软雅黑" w:eastAsia="仿宋_GB2312" w:cs="仿宋_GB2312"/>
          <w:b/>
          <w:color w:val="000000"/>
          <w:kern w:val="2"/>
          <w:lang w:bidi="ar"/>
        </w:rPr>
        <w:t>届少数民族毕业生就业率</w:t>
      </w:r>
    </w:p>
    <w:tbl>
      <w:tblPr>
        <w:tblStyle w:val="16"/>
        <w:tblW w:w="859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89"/>
        <w:gridCol w:w="1651"/>
        <w:gridCol w:w="1651"/>
        <w:gridCol w:w="1651"/>
        <w:gridCol w:w="1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989"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学历层次</w:t>
            </w:r>
          </w:p>
        </w:tc>
        <w:tc>
          <w:tcPr>
            <w:tcW w:w="1651"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民族类别</w:t>
            </w:r>
          </w:p>
        </w:tc>
        <w:tc>
          <w:tcPr>
            <w:tcW w:w="1651"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毕业生人数</w:t>
            </w:r>
          </w:p>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（人）</w:t>
            </w:r>
          </w:p>
        </w:tc>
        <w:tc>
          <w:tcPr>
            <w:tcW w:w="1651"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已就业人数</w:t>
            </w:r>
          </w:p>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（人）</w:t>
            </w:r>
          </w:p>
        </w:tc>
        <w:tc>
          <w:tcPr>
            <w:tcW w:w="1651" w:type="dxa"/>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就业率</w:t>
            </w:r>
          </w:p>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jc w:val="center"/>
        </w:trPr>
        <w:tc>
          <w:tcPr>
            <w:tcW w:w="1989" w:type="dxa"/>
            <w:vMerge w:val="restart"/>
            <w:tcBorders>
              <w:top w:val="single" w:color="auto" w:sz="8" w:space="0"/>
              <w:left w:val="single" w:color="auto" w:sz="8" w:space="0"/>
              <w:bottom w:val="single" w:color="auto" w:sz="8" w:space="0"/>
              <w:right w:val="single" w:color="auto" w:sz="8" w:space="0"/>
            </w:tcBorders>
            <w:shd w:val="clear" w:color="auto" w:fill="DBE5F1"/>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本科毕业生</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汉族</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287</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272</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94.77%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989" w:type="dxa"/>
            <w:vMerge w:val="continue"/>
            <w:tcBorders>
              <w:top w:val="single" w:color="auto" w:sz="8" w:space="0"/>
              <w:left w:val="single" w:color="auto" w:sz="8" w:space="0"/>
              <w:bottom w:val="single" w:color="auto" w:sz="8" w:space="0"/>
              <w:right w:val="single" w:color="auto" w:sz="8" w:space="0"/>
            </w:tcBorders>
            <w:shd w:val="clear" w:color="auto" w:fill="DBE5F1"/>
            <w:vAlign w:val="center"/>
          </w:tcPr>
          <w:p>
            <w:pPr>
              <w:rPr>
                <w:rFonts w:ascii="Times New Roman" w:hAnsi="Times New Roman" w:eastAsia="Times New Roman" w:cs="Times New Roman"/>
                <w:sz w:val="20"/>
                <w:szCs w:val="20"/>
              </w:rPr>
            </w:pP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少数民族</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83</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74</w:t>
            </w:r>
          </w:p>
        </w:tc>
        <w:tc>
          <w:tcPr>
            <w:tcW w:w="1651" w:type="dxa"/>
            <w:tcBorders>
              <w:top w:val="single" w:color="auto" w:sz="8" w:space="0"/>
              <w:left w:val="single" w:color="auto" w:sz="8" w:space="0"/>
              <w:bottom w:val="single" w:color="auto" w:sz="8" w:space="0"/>
              <w:right w:val="single" w:color="auto" w:sz="8" w:space="0"/>
            </w:tcBorders>
            <w:shd w:val="clear" w:color="auto" w:fill="EAF1DD"/>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89.16%</w:t>
            </w:r>
          </w:p>
        </w:tc>
      </w:tr>
    </w:tbl>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ascii="仿宋" w:hAnsi="仿宋" w:eastAsia="仿宋" w:cs="仿宋"/>
          <w:sz w:val="32"/>
          <w:szCs w:val="32"/>
        </w:rPr>
      </w:pPr>
      <w:bookmarkStart w:id="47" w:name="_Toc25733"/>
      <w:bookmarkStart w:id="48" w:name="_Toc23974"/>
      <w:bookmarkStart w:id="49" w:name="_Toc12144"/>
      <w:bookmarkStart w:id="50" w:name="_Toc28795"/>
      <w:r>
        <w:rPr>
          <w:rFonts w:hint="eastAsia"/>
          <w:lang w:val="en-US" w:eastAsia="zh-CN"/>
        </w:rPr>
        <w:t>4、</w:t>
      </w:r>
      <w:r>
        <w:rPr>
          <w:rFonts w:hint="eastAsia"/>
        </w:rPr>
        <w:t>毕业生分生源地就业率</w:t>
      </w:r>
      <w:bookmarkEnd w:id="47"/>
      <w:bookmarkEnd w:id="48"/>
      <w:bookmarkEnd w:id="49"/>
      <w:bookmarkEnd w:id="50"/>
    </w:p>
    <w:p>
      <w:pPr>
        <w:pStyle w:val="11"/>
        <w:spacing w:line="360" w:lineRule="auto"/>
        <w:jc w:val="center"/>
        <w:rPr>
          <w:rFonts w:ascii="仿宋_GB2312" w:hAnsi="微软雅黑" w:eastAsia="仿宋_GB2312" w:cs="仿宋_GB2312"/>
          <w:b/>
          <w:color w:val="000000"/>
        </w:rPr>
      </w:pPr>
      <w:r>
        <w:rPr>
          <w:rFonts w:hint="eastAsia" w:ascii="仿宋_GB2312" w:hAnsi="微软雅黑" w:eastAsia="仿宋_GB2312" w:cs="仿宋_GB2312"/>
          <w:b/>
          <w:color w:val="000000"/>
          <w:kern w:val="2"/>
          <w:lang w:bidi="ar"/>
        </w:rPr>
        <w:t>表1.3.4吉首大学信息科学与工程学院201</w:t>
      </w:r>
      <w:r>
        <w:rPr>
          <w:rFonts w:hint="eastAsia" w:ascii="仿宋_GB2312" w:hAnsi="微软雅黑" w:eastAsia="仿宋_GB2312" w:cs="仿宋_GB2312"/>
          <w:b/>
          <w:color w:val="000000"/>
          <w:kern w:val="2"/>
          <w:lang w:val="en-US" w:eastAsia="zh-CN" w:bidi="ar"/>
        </w:rPr>
        <w:t>7</w:t>
      </w:r>
      <w:r>
        <w:rPr>
          <w:rFonts w:hint="eastAsia" w:ascii="仿宋_GB2312" w:hAnsi="微软雅黑" w:eastAsia="仿宋_GB2312" w:cs="仿宋_GB2312"/>
          <w:b/>
          <w:color w:val="000000"/>
          <w:kern w:val="2"/>
          <w:lang w:bidi="ar"/>
        </w:rPr>
        <w:t>届毕业生分生源地就业率</w:t>
      </w:r>
    </w:p>
    <w:tbl>
      <w:tblPr>
        <w:tblStyle w:val="16"/>
        <w:tblW w:w="8520" w:type="dxa"/>
        <w:jc w:val="center"/>
        <w:tblInd w:w="0" w:type="dxa"/>
        <w:tblLayout w:type="fixed"/>
        <w:tblCellMar>
          <w:top w:w="0" w:type="dxa"/>
          <w:left w:w="108" w:type="dxa"/>
          <w:bottom w:w="0" w:type="dxa"/>
          <w:right w:w="108" w:type="dxa"/>
        </w:tblCellMar>
      </w:tblPr>
      <w:tblGrid>
        <w:gridCol w:w="1617"/>
        <w:gridCol w:w="2264"/>
        <w:gridCol w:w="2320"/>
        <w:gridCol w:w="2319"/>
      </w:tblGrid>
      <w:tr>
        <w:tblPrEx>
          <w:tblLayout w:type="fixed"/>
          <w:tblCellMar>
            <w:top w:w="0" w:type="dxa"/>
            <w:left w:w="108" w:type="dxa"/>
            <w:bottom w:w="0" w:type="dxa"/>
            <w:right w:w="108" w:type="dxa"/>
          </w:tblCellMar>
        </w:tblPrEx>
        <w:trPr>
          <w:trHeight w:val="356" w:hRule="atLeas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jc w:val="center"/>
              <w:rPr>
                <w:rFonts w:ascii="Times New Roman" w:hAnsi="Times New Roman" w:eastAsia="Times New Roman" w:cs="Times New Roman"/>
                <w:sz w:val="20"/>
                <w:szCs w:val="20"/>
              </w:rPr>
            </w:pPr>
            <w:r>
              <w:rPr>
                <w:rFonts w:hint="eastAsia" w:ascii="宋体" w:hAnsi="宋体" w:eastAsia="宋体" w:cs="宋体"/>
                <w:b/>
                <w:color w:val="000000"/>
                <w:kern w:val="0"/>
                <w:sz w:val="22"/>
                <w:szCs w:val="22"/>
                <w:lang w:bidi="ar"/>
              </w:rPr>
              <w:t>生源地省份</w:t>
            </w:r>
          </w:p>
        </w:tc>
        <w:tc>
          <w:tcPr>
            <w:tcW w:w="2264"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毕业生人数（人）</w:t>
            </w:r>
          </w:p>
        </w:tc>
        <w:tc>
          <w:tcPr>
            <w:tcW w:w="2320"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已就业人数（人）</w:t>
            </w:r>
          </w:p>
        </w:tc>
        <w:tc>
          <w:tcPr>
            <w:tcW w:w="2319"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hint="eastAsia"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就业率（%）</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山西省</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内蒙古自治区</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吉林省</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安徽省</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75%</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福建省</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山东</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nil"/>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河南省</w:t>
            </w:r>
          </w:p>
        </w:tc>
        <w:tc>
          <w:tcPr>
            <w:tcW w:w="2264"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2320"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231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湖北省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湖南省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318</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300</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94.34%</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广东省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广西省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贵州省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云南省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甘肃省</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宁夏自治区</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新疆自治区</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60%</w:t>
            </w:r>
          </w:p>
        </w:tc>
      </w:tr>
      <w:tr>
        <w:tblPrEx>
          <w:tblLayout w:type="fixed"/>
          <w:tblCellMar>
            <w:top w:w="0" w:type="dxa"/>
            <w:left w:w="108" w:type="dxa"/>
            <w:bottom w:w="0" w:type="dxa"/>
            <w:right w:w="108" w:type="dxa"/>
          </w:tblCellMar>
        </w:tblPrEx>
        <w:trPr>
          <w:cantSplit/>
          <w:trHeight w:val="38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西藏自治区</w:t>
            </w:r>
          </w:p>
        </w:tc>
        <w:tc>
          <w:tcPr>
            <w:tcW w:w="226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20"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319"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bl>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51" w:name="_Toc16571"/>
      <w:bookmarkStart w:id="52" w:name="_Toc17542"/>
      <w:bookmarkStart w:id="53" w:name="_Toc7658"/>
      <w:bookmarkStart w:id="54" w:name="_Toc29777"/>
      <w:r>
        <w:rPr>
          <w:rFonts w:hint="eastAsia"/>
        </w:rPr>
        <w:t>（四）毕业生就业去向分布</w:t>
      </w:r>
      <w:bookmarkEnd w:id="51"/>
      <w:bookmarkEnd w:id="52"/>
      <w:bookmarkEnd w:id="53"/>
      <w:bookmarkEnd w:id="54"/>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ascii="仿宋" w:hAnsi="仿宋" w:eastAsia="仿宋" w:cs="仿宋"/>
          <w:color w:val="FF0000"/>
          <w:sz w:val="32"/>
          <w:szCs w:val="32"/>
        </w:rPr>
      </w:pPr>
      <w:bookmarkStart w:id="55" w:name="_Toc4940"/>
      <w:bookmarkStart w:id="56" w:name="_Toc17160"/>
      <w:bookmarkStart w:id="57" w:name="_Toc31310"/>
      <w:bookmarkStart w:id="58" w:name="_Toc1392"/>
      <w:r>
        <w:rPr>
          <w:rFonts w:hint="eastAsia" w:ascii="仿宋" w:hAnsi="仿宋" w:eastAsia="仿宋" w:cs="仿宋"/>
          <w:sz w:val="32"/>
          <w:szCs w:val="32"/>
        </w:rPr>
        <w:t>1</w:t>
      </w:r>
      <w:r>
        <w:rPr>
          <w:rFonts w:hint="eastAsia" w:asciiTheme="minorHAnsi" w:hAnsiTheme="minorHAnsi" w:eastAsiaTheme="minorEastAsia" w:cstheme="minorBidi"/>
          <w:b/>
          <w:kern w:val="2"/>
          <w:sz w:val="32"/>
          <w:szCs w:val="24"/>
          <w:lang w:val="en-US" w:eastAsia="zh-CN" w:bidi="ar-SA"/>
        </w:rPr>
        <w:t>、就业去向分布</w:t>
      </w:r>
      <w:bookmarkEnd w:id="55"/>
      <w:bookmarkEnd w:id="56"/>
      <w:bookmarkEnd w:id="57"/>
      <w:bookmarkEnd w:id="58"/>
    </w:p>
    <w:p>
      <w:pPr>
        <w:pStyle w:val="11"/>
        <w:spacing w:line="58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我院201</w:t>
      </w:r>
      <w:r>
        <w:rPr>
          <w:rFonts w:hint="eastAsia" w:ascii="仿宋" w:hAnsi="仿宋" w:eastAsia="仿宋" w:cs="仿宋"/>
          <w:color w:val="auto"/>
          <w:kern w:val="2"/>
          <w:sz w:val="32"/>
          <w:szCs w:val="32"/>
          <w:lang w:val="en-US" w:eastAsia="zh-CN"/>
        </w:rPr>
        <w:t>7</w:t>
      </w:r>
      <w:r>
        <w:rPr>
          <w:rFonts w:hint="eastAsia" w:ascii="仿宋" w:hAnsi="仿宋" w:eastAsia="仿宋" w:cs="仿宋"/>
          <w:color w:val="auto"/>
          <w:kern w:val="2"/>
          <w:sz w:val="32"/>
          <w:szCs w:val="32"/>
        </w:rPr>
        <w:t>届本科毕业生传统就业占</w:t>
      </w:r>
      <w:r>
        <w:rPr>
          <w:rFonts w:hint="eastAsia" w:ascii="仿宋" w:hAnsi="仿宋" w:eastAsia="仿宋" w:cs="仿宋"/>
          <w:color w:val="auto"/>
          <w:kern w:val="2"/>
          <w:sz w:val="32"/>
          <w:szCs w:val="32"/>
          <w:lang w:val="en-US" w:eastAsia="zh-CN"/>
        </w:rPr>
        <w:t>14.86</w:t>
      </w:r>
      <w:r>
        <w:rPr>
          <w:rFonts w:hint="eastAsia" w:ascii="仿宋" w:hAnsi="仿宋" w:eastAsia="仿宋" w:cs="仿宋"/>
          <w:color w:val="auto"/>
          <w:kern w:val="2"/>
          <w:sz w:val="32"/>
          <w:szCs w:val="32"/>
        </w:rPr>
        <w:t>%，灵活就业占</w:t>
      </w:r>
      <w:r>
        <w:rPr>
          <w:rFonts w:hint="eastAsia" w:ascii="仿宋" w:hAnsi="仿宋" w:eastAsia="仿宋" w:cs="仿宋"/>
          <w:color w:val="auto"/>
          <w:kern w:val="2"/>
          <w:sz w:val="32"/>
          <w:szCs w:val="32"/>
          <w:lang w:val="en-US" w:eastAsia="zh-CN"/>
        </w:rPr>
        <w:t>68.38</w:t>
      </w:r>
      <w:r>
        <w:rPr>
          <w:rFonts w:hint="eastAsia" w:ascii="仿宋" w:hAnsi="仿宋" w:eastAsia="仿宋" w:cs="仿宋"/>
          <w:color w:val="auto"/>
          <w:kern w:val="2"/>
          <w:sz w:val="32"/>
          <w:szCs w:val="32"/>
        </w:rPr>
        <w:t>%，继续深造与出国占</w:t>
      </w:r>
      <w:r>
        <w:rPr>
          <w:rFonts w:hint="eastAsia" w:ascii="仿宋" w:hAnsi="仿宋" w:eastAsia="仿宋" w:cs="仿宋"/>
          <w:color w:val="auto"/>
          <w:kern w:val="2"/>
          <w:sz w:val="32"/>
          <w:szCs w:val="32"/>
          <w:lang w:val="en-US" w:eastAsia="zh-CN"/>
        </w:rPr>
        <w:t>10</w:t>
      </w:r>
      <w:r>
        <w:rPr>
          <w:rFonts w:hint="eastAsia" w:ascii="仿宋" w:hAnsi="仿宋" w:eastAsia="仿宋" w:cs="仿宋"/>
          <w:color w:val="auto"/>
          <w:kern w:val="2"/>
          <w:sz w:val="32"/>
          <w:szCs w:val="32"/>
        </w:rPr>
        <w:t>%，待就业占</w:t>
      </w:r>
      <w:r>
        <w:rPr>
          <w:rFonts w:hint="eastAsia" w:ascii="仿宋" w:hAnsi="仿宋" w:eastAsia="仿宋" w:cs="仿宋"/>
          <w:color w:val="auto"/>
          <w:kern w:val="2"/>
          <w:sz w:val="32"/>
          <w:szCs w:val="32"/>
          <w:lang w:val="en-US" w:eastAsia="zh-CN"/>
        </w:rPr>
        <w:t>6.49</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CN"/>
        </w:rPr>
        <w:t>，国家、地方项目占</w:t>
      </w:r>
      <w:r>
        <w:rPr>
          <w:rFonts w:hint="eastAsia" w:ascii="仿宋" w:hAnsi="仿宋" w:eastAsia="仿宋" w:cs="仿宋"/>
          <w:color w:val="auto"/>
          <w:kern w:val="2"/>
          <w:sz w:val="32"/>
          <w:szCs w:val="32"/>
          <w:lang w:val="en-US" w:eastAsia="zh-CN"/>
        </w:rPr>
        <w:t>0.27%</w:t>
      </w:r>
      <w:r>
        <w:rPr>
          <w:rFonts w:hint="eastAsia" w:ascii="仿宋" w:hAnsi="仿宋" w:eastAsia="仿宋" w:cs="仿宋"/>
          <w:color w:val="auto"/>
          <w:kern w:val="2"/>
          <w:sz w:val="32"/>
          <w:szCs w:val="32"/>
        </w:rPr>
        <w:t>。详见图1.4.1。</w:t>
      </w:r>
    </w:p>
    <w:p>
      <w:pPr>
        <w:pStyle w:val="11"/>
        <w:spacing w:line="360" w:lineRule="auto"/>
        <w:jc w:val="center"/>
        <w:rPr>
          <w:rFonts w:hint="eastAsia" w:ascii="仿宋_GB2312" w:hAnsi="微软雅黑" w:eastAsia="仿宋_GB2312" w:cs="仿宋_GB2312"/>
          <w:b/>
          <w:color w:val="000000"/>
          <w:kern w:val="2"/>
          <w:lang w:eastAsia="zh-CN" w:bidi="ar"/>
        </w:rPr>
      </w:pPr>
      <w:r>
        <w:rPr>
          <w:rFonts w:hint="eastAsia" w:ascii="仿宋_GB2312" w:hAnsi="微软雅黑" w:eastAsia="仿宋_GB2312" w:cs="仿宋_GB2312"/>
          <w:b/>
          <w:color w:val="000000"/>
          <w:kern w:val="2"/>
          <w:lang w:bidi="ar"/>
        </w:rPr>
        <w:t>图1.4.1吉首大学信息科学与工程学院201</w:t>
      </w:r>
      <w:r>
        <w:rPr>
          <w:rFonts w:hint="eastAsia" w:ascii="仿宋_GB2312" w:hAnsi="微软雅黑" w:eastAsia="仿宋_GB2312" w:cs="仿宋_GB2312"/>
          <w:b/>
          <w:color w:val="000000"/>
          <w:kern w:val="2"/>
          <w:lang w:val="en-US" w:eastAsia="zh-CN" w:bidi="ar"/>
        </w:rPr>
        <w:t>7</w:t>
      </w:r>
      <w:r>
        <w:rPr>
          <w:rFonts w:hint="eastAsia" w:ascii="仿宋_GB2312" w:hAnsi="微软雅黑" w:eastAsia="仿宋_GB2312" w:cs="仿宋_GB2312"/>
          <w:b/>
          <w:color w:val="000000"/>
          <w:kern w:val="2"/>
          <w:lang w:bidi="ar"/>
        </w:rPr>
        <w:t>届毕业生就业去向分布</w:t>
      </w:r>
    </w:p>
    <w:p>
      <w:pPr>
        <w:pStyle w:val="11"/>
        <w:spacing w:line="360" w:lineRule="auto"/>
        <w:jc w:val="center"/>
        <w:rPr>
          <w:rFonts w:hint="eastAsia" w:ascii="仿宋_GB2312" w:hAnsi="微软雅黑" w:eastAsia="仿宋_GB2312" w:cs="仿宋_GB2312"/>
          <w:b/>
          <w:color w:val="000000"/>
          <w:kern w:val="2"/>
          <w:lang w:eastAsia="zh-CN" w:bidi="ar"/>
        </w:rPr>
      </w:pPr>
      <w:r>
        <w:rPr>
          <w:rFonts w:hint="eastAsia" w:ascii="仿宋_GB2312" w:hAnsi="微软雅黑" w:eastAsia="仿宋_GB2312" w:cs="仿宋_GB2312"/>
          <w:b/>
          <w:color w:val="000000"/>
          <w:kern w:val="2"/>
          <w:lang w:eastAsia="zh-CN" w:bidi="ar"/>
        </w:rPr>
        <w:drawing>
          <wp:inline distT="0" distB="0" distL="114300" distR="114300">
            <wp:extent cx="4545330" cy="2183765"/>
            <wp:effectExtent l="4445" t="4445" r="22225" b="215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59" w:name="_Toc5086"/>
      <w:bookmarkStart w:id="60" w:name="_Toc20515"/>
      <w:bookmarkStart w:id="61" w:name="_Toc30434"/>
      <w:bookmarkStart w:id="62" w:name="_Toc25934"/>
      <w:r>
        <w:rPr>
          <w:rFonts w:hint="eastAsia"/>
        </w:rPr>
        <w:t>2、毕业生就业单位性质分布</w:t>
      </w:r>
      <w:bookmarkEnd w:id="59"/>
      <w:bookmarkEnd w:id="60"/>
      <w:bookmarkEnd w:id="61"/>
      <w:bookmarkEnd w:id="62"/>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我院201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届毕业生就业单位性质分布中，最多的是企业单位，占</w:t>
      </w:r>
      <w:r>
        <w:rPr>
          <w:rFonts w:hint="eastAsia" w:ascii="仿宋" w:hAnsi="仿宋" w:eastAsia="仿宋" w:cs="仿宋"/>
          <w:color w:val="auto"/>
          <w:sz w:val="32"/>
          <w:szCs w:val="32"/>
          <w:lang w:val="en-US" w:eastAsia="zh-CN"/>
        </w:rPr>
        <w:t>82.37</w:t>
      </w:r>
      <w:r>
        <w:rPr>
          <w:rFonts w:hint="eastAsia" w:ascii="仿宋" w:hAnsi="仿宋" w:eastAsia="仿宋" w:cs="仿宋"/>
          <w:color w:val="auto"/>
          <w:sz w:val="32"/>
          <w:szCs w:val="32"/>
        </w:rPr>
        <w:t>%；其次是继续深造与出国，占</w:t>
      </w:r>
      <w:r>
        <w:rPr>
          <w:rFonts w:hint="eastAsia" w:ascii="仿宋" w:hAnsi="仿宋" w:eastAsia="仿宋" w:cs="仿宋"/>
          <w:color w:val="auto"/>
          <w:sz w:val="32"/>
          <w:szCs w:val="32"/>
          <w:lang w:val="en-US" w:eastAsia="zh-CN"/>
        </w:rPr>
        <w:t>10.69</w:t>
      </w:r>
      <w:r>
        <w:rPr>
          <w:rFonts w:hint="eastAsia" w:ascii="仿宋" w:hAnsi="仿宋" w:eastAsia="仿宋" w:cs="仿宋"/>
          <w:color w:val="auto"/>
          <w:sz w:val="32"/>
          <w:szCs w:val="32"/>
        </w:rPr>
        <w:t>%；然后依次是机关单位、</w:t>
      </w:r>
      <w:r>
        <w:rPr>
          <w:rFonts w:hint="eastAsia" w:ascii="仿宋" w:hAnsi="仿宋" w:eastAsia="仿宋" w:cs="仿宋"/>
          <w:color w:val="auto"/>
          <w:sz w:val="32"/>
          <w:szCs w:val="32"/>
          <w:lang w:eastAsia="zh-CN"/>
        </w:rPr>
        <w:t>其它教学</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部队等</w:t>
      </w:r>
      <w:r>
        <w:rPr>
          <w:rFonts w:hint="eastAsia" w:ascii="仿宋" w:hAnsi="仿宋" w:eastAsia="仿宋" w:cs="仿宋"/>
          <w:color w:val="auto"/>
          <w:sz w:val="32"/>
          <w:szCs w:val="32"/>
        </w:rPr>
        <w:t>。详见表1.4.2。</w:t>
      </w:r>
    </w:p>
    <w:p>
      <w:pPr>
        <w:pStyle w:val="11"/>
        <w:spacing w:line="360" w:lineRule="auto"/>
        <w:jc w:val="center"/>
        <w:rPr>
          <w:rFonts w:ascii="仿宋_GB2312" w:hAnsi="微软雅黑" w:eastAsia="仿宋_GB2312" w:cs="仿宋_GB2312"/>
          <w:b/>
          <w:color w:val="000000"/>
        </w:rPr>
      </w:pPr>
      <w:r>
        <w:rPr>
          <w:rFonts w:hint="eastAsia" w:ascii="仿宋_GB2312" w:hAnsi="微软雅黑" w:eastAsia="仿宋_GB2312" w:cs="仿宋_GB2312"/>
          <w:b/>
          <w:color w:val="000000"/>
          <w:kern w:val="2"/>
          <w:lang w:eastAsia="zh-CN" w:bidi="ar"/>
        </w:rPr>
        <w:t>表</w:t>
      </w:r>
      <w:r>
        <w:rPr>
          <w:rFonts w:hint="eastAsia" w:ascii="仿宋_GB2312" w:hAnsi="微软雅黑" w:eastAsia="仿宋_GB2312" w:cs="仿宋_GB2312"/>
          <w:b/>
          <w:color w:val="000000"/>
          <w:kern w:val="2"/>
          <w:lang w:bidi="ar"/>
        </w:rPr>
        <w:t>1.4.2吉首大学信息科学与工程学院201</w:t>
      </w:r>
      <w:r>
        <w:rPr>
          <w:rFonts w:hint="eastAsia" w:ascii="仿宋_GB2312" w:hAnsi="微软雅黑" w:eastAsia="仿宋_GB2312" w:cs="仿宋_GB2312"/>
          <w:b/>
          <w:color w:val="000000"/>
          <w:kern w:val="2"/>
          <w:lang w:val="en-US" w:eastAsia="zh-CN" w:bidi="ar"/>
        </w:rPr>
        <w:t>7</w:t>
      </w:r>
      <w:r>
        <w:rPr>
          <w:rFonts w:hint="eastAsia" w:ascii="仿宋_GB2312" w:hAnsi="微软雅黑" w:eastAsia="仿宋_GB2312" w:cs="仿宋_GB2312"/>
          <w:b/>
          <w:color w:val="000000"/>
          <w:kern w:val="2"/>
          <w:lang w:bidi="ar"/>
        </w:rPr>
        <w:t>届毕业生就业单位性质分布</w:t>
      </w:r>
    </w:p>
    <w:tbl>
      <w:tblPr>
        <w:tblStyle w:val="16"/>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00"/>
        <w:gridCol w:w="242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kern w:val="0"/>
                <w:sz w:val="24"/>
              </w:rPr>
            </w:pPr>
            <w:r>
              <w:rPr>
                <w:rFonts w:hint="eastAsia" w:ascii="宋体" w:hAnsi="宋体" w:eastAsia="宋体" w:cs="宋体"/>
                <w:b/>
                <w:kern w:val="0"/>
                <w:sz w:val="24"/>
                <w:lang w:bidi="ar"/>
              </w:rPr>
              <w:t>层次</w:t>
            </w: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kern w:val="0"/>
                <w:sz w:val="24"/>
              </w:rPr>
            </w:pPr>
            <w:r>
              <w:rPr>
                <w:rFonts w:hint="eastAsia" w:ascii="宋体" w:hAnsi="宋体" w:eastAsia="宋体" w:cs="宋体"/>
                <w:b/>
                <w:kern w:val="0"/>
                <w:sz w:val="24"/>
                <w:lang w:bidi="ar"/>
              </w:rPr>
              <w:t>单位性质</w:t>
            </w:r>
          </w:p>
        </w:tc>
        <w:tc>
          <w:tcPr>
            <w:tcW w:w="2425"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kern w:val="0"/>
                <w:sz w:val="24"/>
              </w:rPr>
            </w:pPr>
            <w:r>
              <w:rPr>
                <w:rFonts w:hint="eastAsia" w:ascii="宋体" w:hAnsi="宋体" w:eastAsia="宋体" w:cs="宋体"/>
                <w:b/>
                <w:kern w:val="0"/>
                <w:sz w:val="24"/>
                <w:lang w:bidi="ar"/>
              </w:rPr>
              <w:t>人数（人）</w:t>
            </w:r>
          </w:p>
        </w:tc>
        <w:tc>
          <w:tcPr>
            <w:tcW w:w="267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restart"/>
            <w:tcBorders>
              <w:top w:val="single" w:color="auto" w:sz="4" w:space="0"/>
              <w:left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本</w:t>
            </w:r>
          </w:p>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科</w:t>
            </w:r>
          </w:p>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生</w:t>
            </w: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bidi="ar"/>
              </w:rPr>
              <w:t>企业</w:t>
            </w:r>
            <w:r>
              <w:rPr>
                <w:rFonts w:hint="eastAsia" w:ascii="宋体" w:hAnsi="宋体" w:eastAsia="宋体" w:cs="宋体"/>
                <w:color w:val="000000"/>
                <w:kern w:val="0"/>
                <w:sz w:val="24"/>
                <w:szCs w:val="24"/>
                <w:lang w:bidi="ar"/>
              </w:rPr>
              <w:t>单位</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285</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继续深造与出国</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bidi="ar"/>
              </w:rPr>
              <w:t>机关</w:t>
            </w:r>
            <w:r>
              <w:rPr>
                <w:rFonts w:hint="eastAsia" w:ascii="宋体" w:hAnsi="宋体" w:eastAsia="宋体" w:cs="宋体"/>
                <w:color w:val="000000"/>
                <w:kern w:val="0"/>
                <w:sz w:val="24"/>
                <w:szCs w:val="24"/>
                <w:lang w:bidi="ar"/>
              </w:rPr>
              <w:t>单位</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其它教学单位</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部队</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地方基层项目</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医疗卫生</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800" w:type="dxa"/>
            <w:vMerge w:val="continue"/>
            <w:tcBorders>
              <w:left w:val="single" w:color="auto" w:sz="4" w:space="0"/>
              <w:bottom w:val="single" w:color="auto" w:sz="4" w:space="0"/>
              <w:right w:val="single" w:color="auto" w:sz="4" w:space="0"/>
            </w:tcBorders>
            <w:shd w:val="clear" w:color="auto" w:fill="DBE5F1"/>
            <w:vAlign w:val="center"/>
          </w:tcPr>
          <w:p>
            <w:pPr>
              <w:rPr>
                <w:rFonts w:ascii="Times New Roman" w:hAnsi="Times New Roman" w:eastAsia="Times New Roman" w:cs="Times New Roman"/>
                <w:sz w:val="20"/>
                <w:szCs w:val="20"/>
              </w:rPr>
            </w:pPr>
          </w:p>
        </w:tc>
        <w:tc>
          <w:tcPr>
            <w:tcW w:w="270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其他事业单位</w:t>
            </w:r>
          </w:p>
        </w:tc>
        <w:tc>
          <w:tcPr>
            <w:tcW w:w="2425"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2672"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0.29%</w:t>
            </w:r>
          </w:p>
        </w:tc>
      </w:tr>
    </w:tbl>
    <w:p>
      <w:pPr>
        <w:pStyle w:val="11"/>
        <w:spacing w:line="580" w:lineRule="exact"/>
        <w:jc w:val="both"/>
        <w:rPr>
          <w:rFonts w:cstheme="minorBidi"/>
          <w:kern w:val="2"/>
          <w:sz w:val="28"/>
          <w:szCs w:val="28"/>
        </w:rPr>
      </w:pPr>
      <w:r>
        <w:rPr>
          <w:rFonts w:hint="eastAsia" w:ascii="仿宋_GB2312" w:hAnsi="微软雅黑" w:eastAsia="仿宋_GB2312"/>
          <w:color w:val="000000"/>
          <w:kern w:val="2"/>
          <w:sz w:val="21"/>
          <w:szCs w:val="22"/>
          <w:lang w:bidi="ar"/>
        </w:rPr>
        <w:t xml:space="preserve">    </w:t>
      </w:r>
      <w:r>
        <w:rPr>
          <w:rFonts w:hint="eastAsia" w:ascii="仿宋_GB2312" w:hAnsi="微软雅黑" w:eastAsia="仿宋_GB2312"/>
          <w:color w:val="000000"/>
          <w:kern w:val="2"/>
          <w:sz w:val="21"/>
          <w:szCs w:val="22"/>
          <w:lang w:eastAsia="zh-CN" w:bidi="ar"/>
        </w:rPr>
        <w:t>注：</w:t>
      </w:r>
      <w:r>
        <w:rPr>
          <w:rFonts w:hint="eastAsia" w:ascii="仿宋_GB2312" w:hAnsi="微软雅黑" w:eastAsia="仿宋_GB2312"/>
          <w:color w:val="000000"/>
          <w:kern w:val="2"/>
          <w:sz w:val="21"/>
          <w:szCs w:val="22"/>
          <w:lang w:bidi="ar"/>
        </w:rPr>
        <w:t>本报告将毕业生就业单位性质分为机关单位、事业单位、企业单位（包括自由职业类别）、项目类单位（主要包括“西部计划”、“三支一扶”、“特岗教师”、“到村任职”和选调生等）、部队、自主创业以及继续深造与出国等几种类型。</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63" w:name="_Toc7208"/>
      <w:bookmarkStart w:id="64" w:name="_Toc27753"/>
      <w:bookmarkStart w:id="65" w:name="_Toc25688"/>
      <w:bookmarkStart w:id="66" w:name="_Toc23699"/>
      <w:r>
        <w:rPr>
          <w:rFonts w:hint="eastAsia"/>
        </w:rPr>
        <w:t>（五）毕业生地域流向</w:t>
      </w:r>
      <w:bookmarkEnd w:id="63"/>
      <w:bookmarkEnd w:id="64"/>
      <w:bookmarkEnd w:id="65"/>
      <w:bookmarkEnd w:id="66"/>
    </w:p>
    <w:p>
      <w:pPr>
        <w:pStyle w:val="11"/>
        <w:spacing w:line="560" w:lineRule="exact"/>
        <w:ind w:firstLine="640" w:firstLineChars="200"/>
        <w:jc w:val="both"/>
        <w:rPr>
          <w:rFonts w:ascii="仿宋_GB2312" w:hAnsi="微软雅黑" w:eastAsia="仿宋_GB2312" w:cs="仿宋_GB2312"/>
          <w:color w:val="auto"/>
          <w:kern w:val="2"/>
          <w:sz w:val="32"/>
          <w:szCs w:val="32"/>
          <w:lang w:bidi="ar"/>
        </w:rPr>
      </w:pPr>
      <w:r>
        <w:rPr>
          <w:rFonts w:hint="eastAsia" w:ascii="仿宋_GB2312" w:hAnsi="微软雅黑" w:eastAsia="仿宋_GB2312" w:cs="仿宋_GB2312"/>
          <w:color w:val="auto"/>
          <w:kern w:val="2"/>
          <w:sz w:val="32"/>
          <w:szCs w:val="32"/>
          <w:lang w:bidi="ar"/>
        </w:rPr>
        <w:t>我院201</w:t>
      </w:r>
      <w:r>
        <w:rPr>
          <w:rFonts w:hint="eastAsia" w:ascii="仿宋_GB2312" w:hAnsi="微软雅黑" w:eastAsia="仿宋_GB2312" w:cs="仿宋_GB2312"/>
          <w:color w:val="auto"/>
          <w:kern w:val="2"/>
          <w:sz w:val="32"/>
          <w:szCs w:val="32"/>
          <w:lang w:val="en-US" w:eastAsia="zh-CN" w:bidi="ar"/>
        </w:rPr>
        <w:t>7</w:t>
      </w:r>
      <w:r>
        <w:rPr>
          <w:rFonts w:hint="eastAsia" w:ascii="仿宋_GB2312" w:hAnsi="微软雅黑" w:eastAsia="仿宋_GB2312" w:cs="仿宋_GB2312"/>
          <w:color w:val="auto"/>
          <w:kern w:val="2"/>
          <w:sz w:val="32"/>
          <w:szCs w:val="32"/>
          <w:lang w:bidi="ar"/>
        </w:rPr>
        <w:t>届毕业生地域流向最多的是</w:t>
      </w:r>
      <w:r>
        <w:rPr>
          <w:rFonts w:hint="eastAsia" w:ascii="仿宋_GB2312" w:hAnsi="微软雅黑" w:eastAsia="仿宋_GB2312" w:cs="仿宋_GB2312"/>
          <w:color w:val="auto"/>
          <w:kern w:val="2"/>
          <w:sz w:val="32"/>
          <w:szCs w:val="32"/>
          <w:lang w:eastAsia="zh-CN" w:bidi="ar"/>
        </w:rPr>
        <w:t>中原</w:t>
      </w:r>
      <w:r>
        <w:rPr>
          <w:rFonts w:hint="eastAsia" w:ascii="仿宋_GB2312" w:hAnsi="微软雅黑" w:eastAsia="仿宋_GB2312" w:cs="仿宋_GB2312"/>
          <w:color w:val="auto"/>
          <w:kern w:val="2"/>
          <w:sz w:val="32"/>
          <w:szCs w:val="32"/>
          <w:lang w:bidi="ar"/>
        </w:rPr>
        <w:t>区域经济体，占</w:t>
      </w:r>
      <w:r>
        <w:rPr>
          <w:rFonts w:hint="eastAsia" w:ascii="仿宋_GB2312" w:hAnsi="微软雅黑" w:eastAsia="仿宋_GB2312" w:cs="仿宋_GB2312"/>
          <w:color w:val="auto"/>
          <w:kern w:val="2"/>
          <w:sz w:val="32"/>
          <w:szCs w:val="32"/>
          <w:lang w:val="en-US" w:eastAsia="zh-CN" w:bidi="ar"/>
        </w:rPr>
        <w:t>49.71</w:t>
      </w:r>
      <w:r>
        <w:rPr>
          <w:rFonts w:hint="eastAsia" w:ascii="仿宋_GB2312" w:hAnsi="微软雅黑" w:eastAsia="仿宋_GB2312" w:cs="仿宋_GB2312"/>
          <w:color w:val="auto"/>
          <w:kern w:val="2"/>
          <w:sz w:val="32"/>
          <w:szCs w:val="32"/>
          <w:lang w:bidi="ar"/>
        </w:rPr>
        <w:t>%；其次是</w:t>
      </w:r>
      <w:r>
        <w:rPr>
          <w:rFonts w:hint="eastAsia" w:ascii="仿宋_GB2312" w:hAnsi="微软雅黑" w:eastAsia="仿宋_GB2312" w:cs="仿宋_GB2312"/>
          <w:color w:val="auto"/>
          <w:kern w:val="2"/>
          <w:sz w:val="32"/>
          <w:szCs w:val="32"/>
          <w:lang w:eastAsia="zh-CN" w:bidi="ar"/>
        </w:rPr>
        <w:t>泛珠江三角洲</w:t>
      </w:r>
      <w:r>
        <w:rPr>
          <w:rFonts w:hint="eastAsia" w:ascii="仿宋_GB2312" w:hAnsi="微软雅黑" w:eastAsia="仿宋_GB2312" w:cs="仿宋_GB2312"/>
          <w:color w:val="auto"/>
          <w:kern w:val="2"/>
          <w:sz w:val="32"/>
          <w:szCs w:val="32"/>
          <w:lang w:bidi="ar"/>
        </w:rPr>
        <w:t>区域经济体，占30.</w:t>
      </w:r>
      <w:r>
        <w:rPr>
          <w:rFonts w:hint="eastAsia" w:ascii="仿宋_GB2312" w:hAnsi="微软雅黑" w:eastAsia="仿宋_GB2312" w:cs="仿宋_GB2312"/>
          <w:color w:val="auto"/>
          <w:kern w:val="2"/>
          <w:sz w:val="32"/>
          <w:szCs w:val="32"/>
          <w:lang w:val="en-US" w:eastAsia="zh-CN" w:bidi="ar"/>
        </w:rPr>
        <w:t>64</w:t>
      </w:r>
      <w:r>
        <w:rPr>
          <w:rFonts w:hint="eastAsia" w:ascii="仿宋_GB2312" w:hAnsi="微软雅黑" w:eastAsia="仿宋_GB2312" w:cs="仿宋_GB2312"/>
          <w:color w:val="auto"/>
          <w:kern w:val="2"/>
          <w:sz w:val="32"/>
          <w:szCs w:val="32"/>
          <w:lang w:bidi="ar"/>
        </w:rPr>
        <w:t>%。详见表1.</w:t>
      </w:r>
      <w:r>
        <w:rPr>
          <w:rFonts w:hint="eastAsia" w:ascii="仿宋_GB2312" w:hAnsi="微软雅黑" w:eastAsia="仿宋_GB2312" w:cs="仿宋_GB2312"/>
          <w:color w:val="auto"/>
          <w:kern w:val="2"/>
          <w:sz w:val="32"/>
          <w:szCs w:val="32"/>
          <w:lang w:val="en-US" w:eastAsia="zh-CN" w:bidi="ar"/>
        </w:rPr>
        <w:t>5</w:t>
      </w:r>
      <w:r>
        <w:rPr>
          <w:rFonts w:hint="eastAsia" w:ascii="仿宋_GB2312" w:hAnsi="微软雅黑" w:eastAsia="仿宋_GB2312" w:cs="仿宋_GB2312"/>
          <w:color w:val="auto"/>
          <w:kern w:val="2"/>
          <w:sz w:val="32"/>
          <w:szCs w:val="32"/>
          <w:lang w:bidi="ar"/>
        </w:rPr>
        <w:t>.</w:t>
      </w:r>
      <w:r>
        <w:rPr>
          <w:rFonts w:hint="eastAsia" w:ascii="仿宋_GB2312" w:hAnsi="微软雅黑" w:eastAsia="仿宋_GB2312" w:cs="仿宋_GB2312"/>
          <w:color w:val="auto"/>
          <w:kern w:val="2"/>
          <w:sz w:val="32"/>
          <w:szCs w:val="32"/>
          <w:lang w:val="en-US" w:eastAsia="zh-CN" w:bidi="ar"/>
        </w:rPr>
        <w:t>1</w:t>
      </w:r>
      <w:r>
        <w:rPr>
          <w:rFonts w:hint="eastAsia" w:ascii="仿宋_GB2312" w:hAnsi="微软雅黑" w:eastAsia="仿宋_GB2312" w:cs="仿宋_GB2312"/>
          <w:color w:val="auto"/>
          <w:kern w:val="2"/>
          <w:sz w:val="32"/>
          <w:szCs w:val="32"/>
          <w:lang w:bidi="ar"/>
        </w:rPr>
        <w:t>。</w:t>
      </w:r>
    </w:p>
    <w:p>
      <w:pPr>
        <w:pStyle w:val="11"/>
        <w:spacing w:line="560" w:lineRule="exact"/>
        <w:jc w:val="center"/>
        <w:rPr>
          <w:rFonts w:ascii="仿宋_GB2312" w:hAnsi="微软雅黑" w:eastAsia="仿宋_GB2312" w:cs="仿宋_GB2312"/>
          <w:b/>
        </w:rPr>
      </w:pPr>
      <w:r>
        <w:rPr>
          <w:rFonts w:hint="eastAsia" w:ascii="仿宋_GB2312" w:hAnsi="微软雅黑" w:eastAsia="仿宋_GB2312" w:cs="仿宋_GB2312"/>
          <w:b/>
          <w:kern w:val="2"/>
          <w:lang w:bidi="ar"/>
        </w:rPr>
        <w:t>表1.</w:t>
      </w:r>
      <w:r>
        <w:rPr>
          <w:rFonts w:hint="eastAsia" w:ascii="仿宋_GB2312" w:hAnsi="微软雅黑" w:eastAsia="仿宋_GB2312" w:cs="仿宋_GB2312"/>
          <w:b/>
          <w:kern w:val="2"/>
          <w:lang w:val="en-US" w:eastAsia="zh-CN" w:bidi="ar"/>
        </w:rPr>
        <w:t>5</w:t>
      </w:r>
      <w:r>
        <w:rPr>
          <w:rFonts w:hint="eastAsia" w:ascii="仿宋_GB2312" w:hAnsi="微软雅黑" w:eastAsia="仿宋_GB2312" w:cs="仿宋_GB2312"/>
          <w:b/>
          <w:kern w:val="2"/>
          <w:lang w:bidi="ar"/>
        </w:rPr>
        <w:t>.</w:t>
      </w:r>
      <w:r>
        <w:rPr>
          <w:rFonts w:hint="eastAsia" w:ascii="仿宋_GB2312" w:hAnsi="微软雅黑" w:eastAsia="仿宋_GB2312" w:cs="仿宋_GB2312"/>
          <w:b/>
          <w:kern w:val="2"/>
          <w:lang w:val="en-US" w:eastAsia="zh-CN" w:bidi="ar"/>
        </w:rPr>
        <w:t>1</w:t>
      </w:r>
      <w:r>
        <w:rPr>
          <w:rFonts w:hint="eastAsia" w:ascii="仿宋_GB2312" w:hAnsi="微软雅黑" w:eastAsia="仿宋_GB2312" w:cs="仿宋_GB2312"/>
          <w:b/>
          <w:kern w:val="2"/>
          <w:lang w:bidi="ar"/>
        </w:rPr>
        <w:t xml:space="preserve"> 吉首大学信息科学与工程学院201</w:t>
      </w:r>
      <w:r>
        <w:rPr>
          <w:rFonts w:hint="eastAsia" w:ascii="仿宋_GB2312" w:hAnsi="微软雅黑" w:eastAsia="仿宋_GB2312" w:cs="仿宋_GB2312"/>
          <w:b/>
          <w:kern w:val="2"/>
          <w:lang w:val="en-US" w:eastAsia="zh-CN" w:bidi="ar"/>
        </w:rPr>
        <w:t>7</w:t>
      </w:r>
      <w:r>
        <w:rPr>
          <w:rFonts w:hint="eastAsia" w:ascii="仿宋_GB2312" w:hAnsi="微软雅黑" w:eastAsia="仿宋_GB2312" w:cs="仿宋_GB2312"/>
          <w:b/>
          <w:kern w:val="2"/>
          <w:lang w:bidi="ar"/>
        </w:rPr>
        <w:t>届毕业</w:t>
      </w:r>
      <w:r>
        <w:rPr>
          <w:rFonts w:hint="eastAsia" w:ascii="仿宋_GB2312" w:hAnsi="微软雅黑" w:eastAsia="仿宋_GB2312" w:cs="仿宋_GB2312"/>
          <w:b/>
          <w:color w:val="auto"/>
          <w:kern w:val="2"/>
          <w:lang w:bidi="ar"/>
        </w:rPr>
        <w:t>生就业地域流向</w:t>
      </w:r>
    </w:p>
    <w:tbl>
      <w:tblPr>
        <w:tblStyle w:val="16"/>
        <w:tblW w:w="7127" w:type="dxa"/>
        <w:jc w:val="center"/>
        <w:tblInd w:w="0" w:type="dxa"/>
        <w:tblLayout w:type="fixed"/>
        <w:tblCellMar>
          <w:top w:w="0" w:type="dxa"/>
          <w:left w:w="108" w:type="dxa"/>
          <w:bottom w:w="0" w:type="dxa"/>
          <w:right w:w="108" w:type="dxa"/>
        </w:tblCellMar>
      </w:tblPr>
      <w:tblGrid>
        <w:gridCol w:w="1165"/>
        <w:gridCol w:w="3194"/>
        <w:gridCol w:w="1377"/>
        <w:gridCol w:w="1391"/>
      </w:tblGrid>
      <w:tr>
        <w:tblPrEx>
          <w:tblLayout w:type="fixed"/>
          <w:tblCellMar>
            <w:top w:w="0" w:type="dxa"/>
            <w:left w:w="108" w:type="dxa"/>
            <w:bottom w:w="0" w:type="dxa"/>
            <w:right w:w="108" w:type="dxa"/>
          </w:tblCellMar>
        </w:tblPrEx>
        <w:trPr>
          <w:trHeight w:val="340" w:hRule="atLeast"/>
          <w:jc w:val="center"/>
        </w:trPr>
        <w:tc>
          <w:tcPr>
            <w:tcW w:w="1165" w:type="dxa"/>
            <w:tcBorders>
              <w:top w:val="single" w:color="auto" w:sz="4" w:space="0"/>
              <w:left w:val="single" w:color="auto" w:sz="4" w:space="0"/>
              <w:bottom w:val="single" w:color="auto" w:sz="4" w:space="0"/>
              <w:right w:val="single" w:color="auto" w:sz="4" w:space="0"/>
            </w:tcBorders>
            <w:shd w:val="clear" w:color="auto" w:fill="DBE5F1"/>
          </w:tcPr>
          <w:p>
            <w:pPr>
              <w:spacing w:line="360" w:lineRule="auto"/>
              <w:rPr>
                <w:rFonts w:ascii="宋体" w:hAnsi="宋体" w:eastAsia="宋体" w:cs="宋体"/>
                <w:b/>
                <w:color w:val="auto"/>
                <w:kern w:val="0"/>
                <w:sz w:val="22"/>
                <w:szCs w:val="22"/>
              </w:rPr>
            </w:pPr>
            <w:r>
              <w:rPr>
                <w:rFonts w:hint="eastAsia" w:ascii="宋体" w:hAnsi="宋体" w:eastAsia="宋体" w:cs="宋体"/>
                <w:b/>
                <w:color w:val="auto"/>
                <w:kern w:val="0"/>
                <w:sz w:val="22"/>
                <w:szCs w:val="22"/>
                <w:lang w:bidi="ar"/>
              </w:rPr>
              <w:t>学历层次</w:t>
            </w:r>
          </w:p>
        </w:tc>
        <w:tc>
          <w:tcPr>
            <w:tcW w:w="3194"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b/>
                <w:color w:val="auto"/>
                <w:kern w:val="0"/>
                <w:sz w:val="22"/>
                <w:szCs w:val="22"/>
              </w:rPr>
            </w:pPr>
            <w:r>
              <w:rPr>
                <w:rFonts w:hint="eastAsia" w:ascii="宋体" w:hAnsi="宋体" w:eastAsia="宋体" w:cs="宋体"/>
                <w:b/>
                <w:color w:val="auto"/>
                <w:kern w:val="0"/>
                <w:sz w:val="22"/>
                <w:szCs w:val="22"/>
                <w:lang w:bidi="ar"/>
              </w:rPr>
              <w:t>地域名称</w:t>
            </w:r>
          </w:p>
        </w:tc>
        <w:tc>
          <w:tcPr>
            <w:tcW w:w="1377" w:type="dxa"/>
            <w:tcBorders>
              <w:top w:val="single" w:color="auto" w:sz="4" w:space="0"/>
              <w:left w:val="nil"/>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b/>
                <w:color w:val="auto"/>
                <w:kern w:val="0"/>
                <w:sz w:val="22"/>
                <w:szCs w:val="22"/>
              </w:rPr>
            </w:pPr>
            <w:r>
              <w:rPr>
                <w:rFonts w:hint="eastAsia" w:ascii="宋体" w:hAnsi="宋体" w:eastAsia="宋体" w:cs="宋体"/>
                <w:b/>
                <w:color w:val="auto"/>
                <w:kern w:val="0"/>
                <w:sz w:val="22"/>
                <w:szCs w:val="22"/>
                <w:lang w:bidi="ar"/>
              </w:rPr>
              <w:t>人数（人）</w:t>
            </w:r>
          </w:p>
        </w:tc>
        <w:tc>
          <w:tcPr>
            <w:tcW w:w="1391" w:type="dxa"/>
            <w:tcBorders>
              <w:top w:val="single" w:color="auto" w:sz="4" w:space="0"/>
              <w:left w:val="nil"/>
              <w:bottom w:val="single" w:color="auto" w:sz="4" w:space="0"/>
              <w:right w:val="single" w:color="auto" w:sz="4" w:space="0"/>
            </w:tcBorders>
            <w:shd w:val="clear" w:color="auto" w:fill="DBE5F1"/>
            <w:vAlign w:val="center"/>
          </w:tcPr>
          <w:p>
            <w:pPr>
              <w:spacing w:line="360" w:lineRule="auto"/>
              <w:jc w:val="center"/>
              <w:rPr>
                <w:rFonts w:ascii="宋体" w:hAnsi="宋体" w:eastAsia="宋体" w:cs="宋体"/>
                <w:b/>
                <w:color w:val="auto"/>
                <w:kern w:val="0"/>
                <w:sz w:val="22"/>
                <w:szCs w:val="22"/>
              </w:rPr>
            </w:pPr>
            <w:r>
              <w:rPr>
                <w:rFonts w:hint="eastAsia" w:ascii="宋体" w:hAnsi="宋体" w:eastAsia="宋体" w:cs="宋体"/>
                <w:b/>
                <w:color w:val="auto"/>
                <w:kern w:val="0"/>
                <w:sz w:val="22"/>
                <w:szCs w:val="22"/>
                <w:lang w:bidi="ar"/>
              </w:rPr>
              <w:t>比率（%）</w:t>
            </w:r>
          </w:p>
        </w:tc>
      </w:tr>
      <w:tr>
        <w:tblPrEx>
          <w:tblLayout w:type="fixed"/>
          <w:tblCellMar>
            <w:top w:w="0" w:type="dxa"/>
            <w:left w:w="108" w:type="dxa"/>
            <w:bottom w:w="0" w:type="dxa"/>
            <w:right w:w="108" w:type="dxa"/>
          </w:tblCellMar>
        </w:tblPrEx>
        <w:trPr>
          <w:trHeight w:val="284" w:hRule="atLeast"/>
          <w:jc w:val="center"/>
        </w:trPr>
        <w:tc>
          <w:tcPr>
            <w:tcW w:w="1165" w:type="dxa"/>
            <w:vMerge w:val="restart"/>
            <w:tcBorders>
              <w:top w:val="single" w:color="auto" w:sz="4" w:space="0"/>
              <w:left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本</w:t>
            </w:r>
          </w:p>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科</w:t>
            </w:r>
          </w:p>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生</w:t>
            </w: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中原区域经济体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181</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52.31%</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color w:val="auto"/>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泛珠江三角洲区域经济体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106</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30.64%</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color w:val="auto"/>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泛渤海湾区域经济体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22</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6.36%</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color w:val="auto"/>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泛长江三角洲区域经济体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22</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6.36%</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color w:val="auto"/>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kern w:val="0"/>
                <w:sz w:val="22"/>
                <w:szCs w:val="22"/>
                <w:lang w:bidi="ar"/>
              </w:rPr>
              <w:t>西南区域经济体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1.73%</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color w:val="auto"/>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color w:val="auto"/>
                <w:kern w:val="0"/>
                <w:sz w:val="22"/>
                <w:szCs w:val="22"/>
              </w:rPr>
            </w:pPr>
            <w:r>
              <w:rPr>
                <w:rFonts w:hint="eastAsia" w:ascii="宋体" w:hAnsi="宋体" w:eastAsia="宋体" w:cs="宋体"/>
                <w:kern w:val="0"/>
                <w:sz w:val="22"/>
                <w:szCs w:val="22"/>
                <w:lang w:bidi="ar"/>
              </w:rPr>
              <w:t>西部生态经济区</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1.45%</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ascii="宋体" w:hAnsi="宋体" w:eastAsia="宋体" w:cs="宋体"/>
                <w:kern w:val="0"/>
                <w:sz w:val="22"/>
                <w:szCs w:val="22"/>
              </w:rPr>
            </w:pPr>
            <w:r>
              <w:rPr>
                <w:rFonts w:hint="eastAsia" w:ascii="宋体" w:hAnsi="宋体" w:eastAsia="宋体" w:cs="宋体"/>
                <w:color w:val="auto"/>
                <w:kern w:val="0"/>
                <w:sz w:val="22"/>
                <w:szCs w:val="22"/>
                <w:lang w:bidi="ar"/>
              </w:rPr>
              <w:t>陕甘宁青区域经济体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0.59%</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right w:val="single" w:color="auto" w:sz="4" w:space="0"/>
            </w:tcBorders>
            <w:shd w:val="clear" w:color="auto" w:fill="EAF1DD"/>
            <w:vAlign w:val="center"/>
          </w:tcPr>
          <w:p>
            <w:pPr>
              <w:jc w:val="center"/>
              <w:rPr>
                <w:rFonts w:ascii="Times New Roman" w:hAnsi="Times New Roman" w:eastAsia="Times New Roman" w:cs="Times New Roman"/>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泛东北区域经济体</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0.29%</w:t>
            </w:r>
          </w:p>
        </w:tc>
      </w:tr>
      <w:tr>
        <w:tblPrEx>
          <w:tblLayout w:type="fixed"/>
          <w:tblCellMar>
            <w:top w:w="0" w:type="dxa"/>
            <w:left w:w="108" w:type="dxa"/>
            <w:bottom w:w="0" w:type="dxa"/>
            <w:right w:w="108" w:type="dxa"/>
          </w:tblCellMar>
        </w:tblPrEx>
        <w:trPr>
          <w:trHeight w:val="284" w:hRule="atLeast"/>
          <w:jc w:val="center"/>
        </w:trPr>
        <w:tc>
          <w:tcPr>
            <w:tcW w:w="1165" w:type="dxa"/>
            <w:vMerge w:val="continue"/>
            <w:tcBorders>
              <w:left w:val="single" w:color="auto" w:sz="4" w:space="0"/>
              <w:bottom w:val="single" w:color="auto" w:sz="4" w:space="0"/>
              <w:right w:val="single" w:color="auto" w:sz="4" w:space="0"/>
            </w:tcBorders>
            <w:shd w:val="clear" w:color="auto" w:fill="EAF1DD"/>
            <w:vAlign w:val="center"/>
          </w:tcPr>
          <w:p>
            <w:pPr>
              <w:jc w:val="center"/>
              <w:rPr>
                <w:rFonts w:ascii="Times New Roman" w:hAnsi="Times New Roman" w:eastAsia="Times New Roman" w:cs="Times New Roman"/>
                <w:sz w:val="20"/>
                <w:szCs w:val="20"/>
              </w:rPr>
            </w:pPr>
          </w:p>
        </w:tc>
        <w:tc>
          <w:tcPr>
            <w:tcW w:w="3194" w:type="dxa"/>
            <w:tcBorders>
              <w:top w:val="single" w:color="auto" w:sz="4" w:space="0"/>
              <w:left w:val="single" w:color="auto" w:sz="4" w:space="0"/>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highlight w:val="none"/>
                <w:lang w:eastAsia="zh-CN"/>
              </w:rPr>
              <w:t>其他</w:t>
            </w:r>
          </w:p>
        </w:tc>
        <w:tc>
          <w:tcPr>
            <w:tcW w:w="1377"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FF"/>
                <w:kern w:val="0"/>
                <w:sz w:val="22"/>
                <w:szCs w:val="22"/>
                <w:lang w:val="en-US" w:eastAsia="zh-CN"/>
              </w:rPr>
            </w:pPr>
            <w:r>
              <w:rPr>
                <w:rFonts w:hint="eastAsia" w:ascii="宋体" w:hAnsi="宋体" w:eastAsia="宋体" w:cs="宋体"/>
                <w:color w:val="auto"/>
                <w:kern w:val="0"/>
                <w:sz w:val="22"/>
                <w:szCs w:val="22"/>
                <w:lang w:val="en-US" w:eastAsia="zh-CN"/>
              </w:rPr>
              <w:t>1</w:t>
            </w:r>
          </w:p>
        </w:tc>
        <w:tc>
          <w:tcPr>
            <w:tcW w:w="1391"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eastAsia="宋体" w:cs="宋体"/>
                <w:color w:val="0000FF"/>
                <w:kern w:val="0"/>
                <w:sz w:val="22"/>
                <w:szCs w:val="22"/>
                <w:lang w:val="en-US" w:eastAsia="zh-CN"/>
              </w:rPr>
            </w:pPr>
            <w:r>
              <w:rPr>
                <w:rFonts w:hint="eastAsia" w:ascii="宋体" w:hAnsi="宋体" w:eastAsia="宋体" w:cs="宋体"/>
                <w:color w:val="auto"/>
                <w:kern w:val="0"/>
                <w:sz w:val="22"/>
                <w:szCs w:val="22"/>
                <w:lang w:val="en-US" w:eastAsia="zh-CN"/>
              </w:rPr>
              <w:t>0.29%</w:t>
            </w:r>
          </w:p>
        </w:tc>
      </w:tr>
    </w:tbl>
    <w:p>
      <w:pPr>
        <w:pStyle w:val="11"/>
        <w:ind w:firstLine="352" w:firstLineChars="200"/>
        <w:jc w:val="left"/>
        <w:rPr>
          <w:color w:val="0000FF"/>
        </w:rPr>
      </w:pPr>
      <w:r>
        <w:rPr>
          <w:rFonts w:hint="eastAsia" w:ascii="仿宋_GB2312" w:hAnsi="微软雅黑" w:eastAsia="仿宋_GB2312" w:cs="仿宋_GB2312"/>
          <w:spacing w:val="-2"/>
          <w:kern w:val="2"/>
          <w:sz w:val="18"/>
          <w:szCs w:val="18"/>
          <w:lang w:eastAsia="zh-CN" w:bidi="ar"/>
        </w:rPr>
        <w:t>注：</w:t>
      </w:r>
      <w:r>
        <w:rPr>
          <w:rFonts w:hint="eastAsia" w:ascii="仿宋_GB2312" w:hAnsi="微软雅黑" w:eastAsia="仿宋_GB2312" w:cs="仿宋_GB2312"/>
          <w:spacing w:val="-2"/>
          <w:kern w:val="2"/>
          <w:sz w:val="18"/>
          <w:szCs w:val="18"/>
          <w:lang w:bidi="ar"/>
        </w:rPr>
        <w:t>本报告按八大区域经济体划分毕业生地域流向，分别是泛东北区域经济体（黑龙江、吉林、辽林）、泛渤海湾区域经济体（北京、天津、山东、河北、内蒙古、山西）、陕甘宁青区域经济体（陕西、甘肃、宁夏、青海）、中原区域经济体（河南、湖北、湖南）、泛长江三角洲区域经济体（上海、江苏、浙江、江西、安徽）、泛珠江三角洲区域经济体（广东、广西、福建、海南）、西南区域经济体（重庆、四川、贵州、云南）、西部生态经济区（西藏、新疆）。</w:t>
      </w:r>
    </w:p>
    <w:p>
      <w:pPr>
        <w:pStyle w:val="2"/>
        <w:rPr>
          <w:b/>
          <w:bCs w:val="0"/>
        </w:rPr>
      </w:pPr>
      <w:bookmarkStart w:id="67" w:name="_Toc4007"/>
      <w:bookmarkStart w:id="68" w:name="_Toc15106"/>
      <w:bookmarkStart w:id="69" w:name="_Toc8828"/>
      <w:bookmarkStart w:id="70" w:name="_Toc15807"/>
      <w:r>
        <w:rPr>
          <w:rFonts w:hint="eastAsia"/>
          <w:b/>
          <w:bCs w:val="0"/>
          <w:lang w:eastAsia="zh-CN"/>
        </w:rPr>
        <w:t>二、</w:t>
      </w:r>
      <w:r>
        <w:rPr>
          <w:rFonts w:hint="eastAsia"/>
          <w:b/>
          <w:bCs w:val="0"/>
        </w:rPr>
        <w:t>毕业生就业情况分析</w:t>
      </w:r>
      <w:bookmarkEnd w:id="67"/>
      <w:bookmarkEnd w:id="68"/>
      <w:bookmarkEnd w:id="69"/>
      <w:bookmarkEnd w:id="70"/>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71" w:name="_Toc9908"/>
      <w:bookmarkStart w:id="72" w:name="_Toc27145"/>
      <w:bookmarkStart w:id="73" w:name="_Toc9979"/>
      <w:bookmarkStart w:id="74" w:name="_Toc23132"/>
      <w:r>
        <w:rPr>
          <w:rFonts w:hint="eastAsia"/>
        </w:rPr>
        <w:t>（一）用人单位问卷调查情况</w:t>
      </w:r>
      <w:bookmarkEnd w:id="71"/>
      <w:bookmarkEnd w:id="72"/>
      <w:bookmarkEnd w:id="73"/>
      <w:bookmarkEnd w:id="74"/>
    </w:p>
    <w:p>
      <w:pPr>
        <w:widowControl/>
        <w:ind w:firstLine="640"/>
        <w:jc w:val="left"/>
        <w:rPr>
          <w:rFonts w:hint="eastAsia" w:ascii="仿宋" w:hAnsi="仿宋" w:eastAsia="仿宋" w:cs="仿宋"/>
          <w:color w:val="000000"/>
          <w:sz w:val="32"/>
          <w:szCs w:val="32"/>
          <w:lang w:bidi="ar"/>
        </w:rPr>
      </w:pPr>
      <w:r>
        <w:rPr>
          <w:rFonts w:hint="eastAsia" w:ascii="仿宋" w:hAnsi="仿宋" w:eastAsia="仿宋" w:cs="仿宋"/>
          <w:bCs/>
          <w:color w:val="000000"/>
          <w:sz w:val="32"/>
          <w:szCs w:val="32"/>
          <w:lang w:bidi="ar"/>
        </w:rPr>
        <w:t>201</w:t>
      </w:r>
      <w:r>
        <w:rPr>
          <w:rFonts w:hint="eastAsia" w:ascii="仿宋" w:hAnsi="仿宋" w:eastAsia="仿宋" w:cs="仿宋"/>
          <w:bCs/>
          <w:color w:val="000000"/>
          <w:sz w:val="32"/>
          <w:szCs w:val="32"/>
          <w:lang w:val="en-US" w:eastAsia="zh-CN" w:bidi="ar"/>
        </w:rPr>
        <w:t>7</w:t>
      </w:r>
      <w:r>
        <w:rPr>
          <w:rFonts w:hint="eastAsia" w:ascii="仿宋" w:hAnsi="仿宋" w:eastAsia="仿宋" w:cs="仿宋"/>
          <w:bCs/>
          <w:color w:val="000000"/>
          <w:sz w:val="32"/>
          <w:szCs w:val="32"/>
          <w:lang w:bidi="ar"/>
        </w:rPr>
        <w:t>年</w:t>
      </w:r>
      <w:r>
        <w:rPr>
          <w:rFonts w:hint="eastAsia" w:ascii="仿宋" w:hAnsi="仿宋" w:eastAsia="仿宋" w:cs="仿宋"/>
          <w:bCs/>
          <w:color w:val="000000"/>
          <w:sz w:val="32"/>
          <w:szCs w:val="32"/>
          <w:lang w:val="en-US" w:eastAsia="zh-CN" w:bidi="ar"/>
        </w:rPr>
        <w:t>8</w:t>
      </w:r>
      <w:r>
        <w:rPr>
          <w:rFonts w:hint="eastAsia" w:ascii="仿宋" w:hAnsi="仿宋" w:eastAsia="仿宋" w:cs="仿宋"/>
          <w:bCs/>
          <w:color w:val="auto"/>
          <w:sz w:val="32"/>
          <w:szCs w:val="32"/>
          <w:lang w:bidi="ar"/>
        </w:rPr>
        <w:t>月—1</w:t>
      </w:r>
      <w:r>
        <w:rPr>
          <w:rFonts w:hint="eastAsia" w:ascii="仿宋" w:hAnsi="仿宋" w:eastAsia="仿宋" w:cs="仿宋"/>
          <w:bCs/>
          <w:color w:val="auto"/>
          <w:sz w:val="32"/>
          <w:szCs w:val="32"/>
          <w:lang w:val="en-US" w:eastAsia="zh-CN" w:bidi="ar"/>
        </w:rPr>
        <w:t>2</w:t>
      </w:r>
      <w:r>
        <w:rPr>
          <w:rFonts w:hint="eastAsia" w:ascii="仿宋" w:hAnsi="仿宋" w:eastAsia="仿宋" w:cs="仿宋"/>
          <w:bCs/>
          <w:color w:val="auto"/>
          <w:sz w:val="32"/>
          <w:szCs w:val="32"/>
          <w:lang w:bidi="ar"/>
        </w:rPr>
        <w:t>月，</w:t>
      </w:r>
      <w:r>
        <w:rPr>
          <w:rFonts w:hint="eastAsia" w:ascii="仿宋" w:hAnsi="仿宋" w:eastAsia="仿宋" w:cs="仿宋"/>
          <w:bCs/>
          <w:color w:val="000000"/>
          <w:sz w:val="32"/>
          <w:szCs w:val="32"/>
          <w:lang w:eastAsia="zh-CN" w:bidi="ar"/>
        </w:rPr>
        <w:t>学院</w:t>
      </w:r>
      <w:r>
        <w:rPr>
          <w:rFonts w:hint="eastAsia" w:ascii="仿宋" w:hAnsi="仿宋" w:eastAsia="仿宋" w:cs="仿宋"/>
          <w:color w:val="000000"/>
          <w:sz w:val="32"/>
          <w:szCs w:val="32"/>
          <w:lang w:bidi="ar"/>
        </w:rPr>
        <w:t>向建立了长期稳定合作的单位（企业单位</w:t>
      </w:r>
      <w:r>
        <w:rPr>
          <w:rFonts w:hint="eastAsia" w:ascii="仿宋" w:hAnsi="仿宋" w:eastAsia="仿宋" w:cs="仿宋"/>
          <w:color w:val="000000"/>
          <w:sz w:val="32"/>
          <w:szCs w:val="32"/>
          <w:lang w:eastAsia="zh-CN" w:bidi="ar"/>
        </w:rPr>
        <w:t>，政府机关，事业单位等</w:t>
      </w:r>
      <w:r>
        <w:rPr>
          <w:rFonts w:hint="eastAsia" w:ascii="仿宋" w:hAnsi="仿宋" w:eastAsia="仿宋" w:cs="仿宋"/>
          <w:color w:val="000000"/>
          <w:sz w:val="32"/>
          <w:szCs w:val="32"/>
          <w:lang w:bidi="ar"/>
        </w:rPr>
        <w:t>）进行抽样调查</w:t>
      </w:r>
      <w:r>
        <w:rPr>
          <w:rFonts w:hint="eastAsia" w:ascii="仿宋" w:hAnsi="仿宋" w:eastAsia="仿宋" w:cs="仿宋"/>
          <w:bCs/>
          <w:color w:val="000000"/>
          <w:sz w:val="32"/>
          <w:szCs w:val="32"/>
          <w:lang w:bidi="ar"/>
        </w:rPr>
        <w:t>，发放调查问</w:t>
      </w:r>
      <w:r>
        <w:rPr>
          <w:rFonts w:hint="eastAsia" w:ascii="仿宋" w:hAnsi="仿宋" w:eastAsia="仿宋" w:cs="仿宋"/>
          <w:bCs/>
          <w:color w:val="auto"/>
          <w:sz w:val="32"/>
          <w:szCs w:val="32"/>
          <w:lang w:bidi="ar"/>
        </w:rPr>
        <w:t>卷40份，有效问卷</w:t>
      </w:r>
      <w:r>
        <w:rPr>
          <w:rFonts w:hint="eastAsia" w:ascii="仿宋" w:hAnsi="仿宋" w:eastAsia="仿宋" w:cs="仿宋"/>
          <w:bCs/>
          <w:color w:val="auto"/>
          <w:sz w:val="32"/>
          <w:szCs w:val="32"/>
          <w:lang w:val="en-US" w:eastAsia="zh-CN" w:bidi="ar"/>
        </w:rPr>
        <w:t>32</w:t>
      </w:r>
      <w:r>
        <w:rPr>
          <w:rFonts w:hint="eastAsia" w:ascii="仿宋" w:hAnsi="仿宋" w:eastAsia="仿宋" w:cs="仿宋"/>
          <w:bCs/>
          <w:color w:val="auto"/>
          <w:sz w:val="32"/>
          <w:szCs w:val="32"/>
          <w:lang w:bidi="ar"/>
        </w:rPr>
        <w:t>份</w:t>
      </w:r>
      <w:r>
        <w:rPr>
          <w:rFonts w:hint="eastAsia" w:ascii="仿宋" w:hAnsi="仿宋" w:eastAsia="仿宋" w:cs="仿宋"/>
          <w:bCs/>
          <w:sz w:val="32"/>
          <w:szCs w:val="32"/>
          <w:lang w:bidi="ar"/>
        </w:rPr>
        <w:t>。</w:t>
      </w:r>
      <w:r>
        <w:rPr>
          <w:rFonts w:hint="eastAsia" w:ascii="仿宋" w:hAnsi="仿宋" w:eastAsia="仿宋" w:cs="仿宋"/>
          <w:color w:val="000000"/>
          <w:sz w:val="32"/>
          <w:szCs w:val="32"/>
          <w:lang w:bidi="ar"/>
        </w:rPr>
        <w:t>抽样调查的用人单位主要分布</w:t>
      </w:r>
      <w:r>
        <w:rPr>
          <w:rFonts w:hint="eastAsia" w:ascii="仿宋" w:hAnsi="仿宋" w:eastAsia="仿宋" w:cs="仿宋"/>
          <w:color w:val="auto"/>
          <w:sz w:val="32"/>
          <w:szCs w:val="32"/>
          <w:lang w:bidi="ar"/>
        </w:rPr>
        <w:t>在湖南、</w:t>
      </w:r>
      <w:r>
        <w:rPr>
          <w:rFonts w:hint="eastAsia" w:ascii="仿宋" w:hAnsi="仿宋" w:eastAsia="仿宋" w:cs="仿宋"/>
          <w:color w:val="auto"/>
          <w:sz w:val="32"/>
          <w:szCs w:val="32"/>
          <w:lang w:eastAsia="zh-CN" w:bidi="ar"/>
        </w:rPr>
        <w:t>北京</w:t>
      </w:r>
      <w:r>
        <w:rPr>
          <w:rFonts w:hint="eastAsia" w:ascii="仿宋" w:hAnsi="仿宋" w:eastAsia="仿宋" w:cs="仿宋"/>
          <w:color w:val="auto"/>
          <w:sz w:val="32"/>
          <w:szCs w:val="32"/>
          <w:lang w:bidi="ar"/>
        </w:rPr>
        <w:t>、上海、</w:t>
      </w:r>
      <w:r>
        <w:rPr>
          <w:rFonts w:hint="eastAsia" w:ascii="仿宋" w:hAnsi="仿宋" w:eastAsia="仿宋" w:cs="仿宋"/>
          <w:color w:val="auto"/>
          <w:sz w:val="32"/>
          <w:szCs w:val="32"/>
          <w:lang w:eastAsia="zh-CN" w:bidi="ar"/>
        </w:rPr>
        <w:t>深圳</w:t>
      </w:r>
      <w:r>
        <w:rPr>
          <w:rFonts w:hint="eastAsia" w:ascii="仿宋" w:hAnsi="仿宋" w:eastAsia="仿宋" w:cs="仿宋"/>
          <w:color w:val="auto"/>
          <w:sz w:val="32"/>
          <w:szCs w:val="32"/>
          <w:lang w:bidi="ar"/>
        </w:rPr>
        <w:t>、新疆等省</w:t>
      </w:r>
      <w:r>
        <w:rPr>
          <w:rFonts w:hint="eastAsia" w:ascii="仿宋" w:hAnsi="仿宋" w:eastAsia="仿宋" w:cs="仿宋"/>
          <w:color w:val="000000"/>
          <w:sz w:val="32"/>
          <w:szCs w:val="32"/>
          <w:lang w:bidi="ar"/>
        </w:rPr>
        <w:t>市，其中企业单位覆盖了信息传输、软件和信息技术、教育和技术服务业等。</w:t>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ascii="仿宋" w:hAnsi="仿宋" w:eastAsia="仿宋" w:cs="仿宋"/>
          <w:kern w:val="2"/>
          <w:sz w:val="32"/>
          <w:szCs w:val="32"/>
        </w:rPr>
      </w:pPr>
      <w:bookmarkStart w:id="75" w:name="_Toc12459"/>
      <w:bookmarkStart w:id="76" w:name="_Toc8160"/>
      <w:bookmarkStart w:id="77" w:name="_Toc20686"/>
      <w:bookmarkStart w:id="78" w:name="_Toc3888"/>
      <w:r>
        <w:rPr>
          <w:rFonts w:hint="eastAsia"/>
        </w:rPr>
        <w:t>1、抽样调查的单位分布</w:t>
      </w:r>
      <w:bookmarkEnd w:id="75"/>
      <w:bookmarkEnd w:id="76"/>
      <w:bookmarkEnd w:id="77"/>
      <w:bookmarkEnd w:id="78"/>
    </w:p>
    <w:p>
      <w:pPr>
        <w:pStyle w:val="11"/>
        <w:spacing w:line="360" w:lineRule="auto"/>
        <w:ind w:firstLine="640" w:firstLineChars="200"/>
        <w:jc w:val="both"/>
        <w:rPr>
          <w:rFonts w:hint="eastAsia" w:ascii="仿宋_GB2312" w:hAnsi="微软雅黑" w:eastAsia="仿宋_GB2312" w:cs="仿宋_GB2312"/>
          <w:bCs/>
          <w:color w:val="auto"/>
          <w:kern w:val="2"/>
          <w:sz w:val="32"/>
          <w:szCs w:val="32"/>
          <w:lang w:bidi="ar"/>
        </w:rPr>
      </w:pPr>
      <w:r>
        <w:rPr>
          <w:rFonts w:hint="eastAsia" w:ascii="仿宋_GB2312" w:hAnsi="宋体" w:eastAsia="仿宋_GB2312"/>
          <w:color w:val="auto"/>
          <w:kern w:val="2"/>
          <w:sz w:val="32"/>
          <w:szCs w:val="32"/>
          <w:lang w:bidi="ar"/>
        </w:rPr>
        <w:t>抽样调查的单位共3</w:t>
      </w:r>
      <w:r>
        <w:rPr>
          <w:rFonts w:hint="eastAsia" w:ascii="仿宋_GB2312" w:hAnsi="宋体" w:eastAsia="仿宋_GB2312"/>
          <w:color w:val="auto"/>
          <w:kern w:val="2"/>
          <w:sz w:val="32"/>
          <w:szCs w:val="32"/>
          <w:lang w:val="en-US" w:eastAsia="zh-CN" w:bidi="ar"/>
        </w:rPr>
        <w:t>2</w:t>
      </w:r>
      <w:r>
        <w:rPr>
          <w:rFonts w:hint="eastAsia" w:ascii="仿宋_GB2312" w:hAnsi="宋体" w:eastAsia="仿宋_GB2312"/>
          <w:color w:val="auto"/>
          <w:kern w:val="2"/>
          <w:sz w:val="32"/>
          <w:szCs w:val="32"/>
          <w:lang w:bidi="ar"/>
        </w:rPr>
        <w:t>家</w:t>
      </w:r>
      <w:r>
        <w:rPr>
          <w:rFonts w:hint="eastAsia" w:ascii="仿宋_GB2312" w:hAnsi="微软雅黑" w:eastAsia="仿宋_GB2312" w:cs="仿宋_GB2312"/>
          <w:bCs/>
          <w:color w:val="auto"/>
          <w:kern w:val="2"/>
          <w:sz w:val="32"/>
          <w:szCs w:val="32"/>
          <w:lang w:bidi="ar"/>
        </w:rPr>
        <w:t>，</w:t>
      </w:r>
      <w:r>
        <w:rPr>
          <w:rFonts w:hint="eastAsia" w:ascii="仿宋_GB2312" w:hAnsi="微软雅黑" w:eastAsia="仿宋_GB2312" w:cs="仿宋_GB2312"/>
          <w:bCs/>
          <w:color w:val="auto"/>
          <w:kern w:val="2"/>
          <w:sz w:val="32"/>
          <w:szCs w:val="32"/>
          <w:lang w:eastAsia="zh-CN" w:bidi="ar"/>
        </w:rPr>
        <w:t>机关单位</w:t>
      </w:r>
      <w:r>
        <w:rPr>
          <w:rFonts w:hint="eastAsia" w:ascii="仿宋_GB2312" w:hAnsi="微软雅黑" w:eastAsia="仿宋_GB2312" w:cs="仿宋_GB2312"/>
          <w:bCs/>
          <w:color w:val="auto"/>
          <w:kern w:val="2"/>
          <w:sz w:val="32"/>
          <w:szCs w:val="32"/>
          <w:lang w:val="en-US" w:eastAsia="zh-CN" w:bidi="ar"/>
        </w:rPr>
        <w:t>1家</w:t>
      </w:r>
      <w:r>
        <w:rPr>
          <w:rFonts w:hint="eastAsia" w:ascii="仿宋_GB2312" w:hAnsi="微软雅黑" w:eastAsia="仿宋_GB2312" w:cs="仿宋_GB2312"/>
          <w:bCs/>
          <w:color w:val="auto"/>
          <w:kern w:val="2"/>
          <w:sz w:val="32"/>
          <w:szCs w:val="32"/>
          <w:lang w:bidi="ar"/>
        </w:rPr>
        <w:t>，占</w:t>
      </w:r>
      <w:r>
        <w:rPr>
          <w:rFonts w:hint="eastAsia" w:ascii="仿宋_GB2312" w:hAnsi="微软雅黑" w:eastAsia="仿宋_GB2312" w:cs="仿宋_GB2312"/>
          <w:bCs/>
          <w:color w:val="auto"/>
          <w:kern w:val="2"/>
          <w:sz w:val="32"/>
          <w:szCs w:val="32"/>
          <w:lang w:val="en-US" w:eastAsia="zh-CN" w:bidi="ar"/>
        </w:rPr>
        <w:t>3.13</w:t>
      </w:r>
      <w:r>
        <w:rPr>
          <w:rFonts w:hint="eastAsia" w:ascii="仿宋_GB2312" w:hAnsi="微软雅黑" w:eastAsia="仿宋_GB2312" w:cs="仿宋_GB2312"/>
          <w:bCs/>
          <w:color w:val="auto"/>
          <w:kern w:val="2"/>
          <w:sz w:val="32"/>
          <w:szCs w:val="32"/>
          <w:lang w:bidi="ar"/>
        </w:rPr>
        <w:t>%；企业单位3</w:t>
      </w:r>
      <w:r>
        <w:rPr>
          <w:rFonts w:hint="eastAsia" w:ascii="仿宋_GB2312" w:hAnsi="微软雅黑" w:eastAsia="仿宋_GB2312" w:cs="仿宋_GB2312"/>
          <w:bCs/>
          <w:color w:val="auto"/>
          <w:kern w:val="2"/>
          <w:sz w:val="32"/>
          <w:szCs w:val="32"/>
          <w:lang w:val="en-US" w:eastAsia="zh-CN" w:bidi="ar"/>
        </w:rPr>
        <w:t>1</w:t>
      </w:r>
      <w:r>
        <w:rPr>
          <w:rFonts w:hint="eastAsia" w:ascii="仿宋_GB2312" w:hAnsi="微软雅黑" w:eastAsia="仿宋_GB2312" w:cs="仿宋_GB2312"/>
          <w:bCs/>
          <w:color w:val="auto"/>
          <w:kern w:val="2"/>
          <w:sz w:val="32"/>
          <w:szCs w:val="32"/>
          <w:lang w:bidi="ar"/>
        </w:rPr>
        <w:t>家，占</w:t>
      </w:r>
      <w:r>
        <w:rPr>
          <w:rFonts w:hint="eastAsia" w:ascii="仿宋_GB2312" w:hAnsi="微软雅黑" w:eastAsia="仿宋_GB2312" w:cs="仿宋_GB2312"/>
          <w:bCs/>
          <w:color w:val="auto"/>
          <w:kern w:val="2"/>
          <w:sz w:val="32"/>
          <w:szCs w:val="32"/>
          <w:lang w:val="en-US" w:eastAsia="zh-CN" w:bidi="ar"/>
        </w:rPr>
        <w:t>96.88</w:t>
      </w:r>
      <w:r>
        <w:rPr>
          <w:rFonts w:hint="eastAsia" w:ascii="仿宋_GB2312" w:hAnsi="微软雅黑" w:eastAsia="仿宋_GB2312" w:cs="仿宋_GB2312"/>
          <w:bCs/>
          <w:color w:val="auto"/>
          <w:kern w:val="2"/>
          <w:sz w:val="32"/>
          <w:szCs w:val="32"/>
          <w:lang w:bidi="ar"/>
        </w:rPr>
        <w:t>%；。</w:t>
      </w:r>
    </w:p>
    <w:p>
      <w:pPr>
        <w:pStyle w:val="11"/>
        <w:spacing w:line="360" w:lineRule="auto"/>
        <w:jc w:val="both"/>
        <w:rPr>
          <w:rFonts w:hint="eastAsia" w:ascii="仿宋_GB2312" w:hAnsi="微软雅黑" w:eastAsia="仿宋_GB2312" w:cs="仿宋_GB2312"/>
          <w:bCs/>
          <w:color w:val="000000"/>
          <w:kern w:val="2"/>
          <w:sz w:val="32"/>
          <w:szCs w:val="32"/>
          <w:lang w:bidi="ar"/>
        </w:rPr>
      </w:pPr>
      <w:r>
        <w:rPr>
          <w:rFonts w:hint="eastAsia" w:ascii="仿宋_GB2312" w:hAnsi="微软雅黑" w:eastAsia="仿宋_GB2312" w:cs="仿宋_GB2312"/>
          <w:b/>
          <w:kern w:val="2"/>
          <w:lang w:val="en-US" w:eastAsia="zh-CN" w:bidi="ar"/>
        </w:rPr>
        <w:t xml:space="preserve">   图2</w:t>
      </w:r>
      <w:r>
        <w:rPr>
          <w:rFonts w:hint="eastAsia" w:ascii="仿宋_GB2312" w:hAnsi="微软雅黑" w:eastAsia="仿宋_GB2312" w:cs="仿宋_GB2312"/>
          <w:b/>
          <w:kern w:val="2"/>
          <w:lang w:bidi="ar"/>
        </w:rPr>
        <w:t>.</w:t>
      </w:r>
      <w:r>
        <w:rPr>
          <w:rFonts w:hint="eastAsia" w:ascii="仿宋_GB2312" w:hAnsi="微软雅黑" w:eastAsia="仿宋_GB2312" w:cs="仿宋_GB2312"/>
          <w:b/>
          <w:kern w:val="2"/>
          <w:lang w:val="en-US" w:eastAsia="zh-CN" w:bidi="ar"/>
        </w:rPr>
        <w:t>1</w:t>
      </w:r>
      <w:r>
        <w:rPr>
          <w:rFonts w:hint="eastAsia" w:ascii="仿宋_GB2312" w:hAnsi="微软雅黑" w:eastAsia="仿宋_GB2312" w:cs="仿宋_GB2312"/>
          <w:b/>
          <w:kern w:val="2"/>
          <w:lang w:bidi="ar"/>
        </w:rPr>
        <w:t>.</w:t>
      </w:r>
      <w:r>
        <w:rPr>
          <w:rFonts w:hint="eastAsia" w:ascii="仿宋_GB2312" w:hAnsi="微软雅黑" w:eastAsia="仿宋_GB2312" w:cs="仿宋_GB2312"/>
          <w:b/>
          <w:kern w:val="2"/>
          <w:lang w:val="en-US" w:eastAsia="zh-CN" w:bidi="ar"/>
        </w:rPr>
        <w:t>1</w:t>
      </w:r>
      <w:r>
        <w:rPr>
          <w:rFonts w:hint="eastAsia" w:ascii="仿宋_GB2312" w:hAnsi="微软雅黑" w:eastAsia="仿宋_GB2312" w:cs="仿宋_GB2312"/>
          <w:b/>
          <w:kern w:val="2"/>
          <w:lang w:bidi="ar"/>
        </w:rPr>
        <w:t xml:space="preserve"> 吉首大学信息科学与工程学院</w:t>
      </w:r>
      <w:r>
        <w:rPr>
          <w:rFonts w:hint="eastAsia" w:ascii="仿宋_GB2312" w:hAnsi="微软雅黑" w:eastAsia="仿宋_GB2312" w:cs="仿宋_GB2312"/>
          <w:b/>
          <w:kern w:val="2"/>
          <w:lang w:eastAsia="zh-CN" w:bidi="ar"/>
        </w:rPr>
        <w:t>抽样调查的就业单位性质分布</w:t>
      </w:r>
    </w:p>
    <w:p>
      <w:pPr>
        <w:pStyle w:val="11"/>
        <w:spacing w:line="360" w:lineRule="auto"/>
        <w:ind w:firstLine="640" w:firstLineChars="200"/>
        <w:jc w:val="both"/>
        <w:rPr>
          <w:rFonts w:hint="eastAsia" w:ascii="仿宋_GB2312" w:hAnsi="微软雅黑" w:eastAsia="仿宋_GB2312" w:cs="仿宋_GB2312"/>
          <w:bCs/>
          <w:color w:val="000000"/>
          <w:kern w:val="2"/>
          <w:sz w:val="32"/>
          <w:szCs w:val="32"/>
          <w:lang w:eastAsia="zh-CN" w:bidi="ar"/>
        </w:rPr>
      </w:pPr>
      <w:r>
        <w:rPr>
          <w:rFonts w:hint="eastAsia" w:ascii="仿宋_GB2312" w:hAnsi="微软雅黑" w:eastAsia="仿宋_GB2312" w:cs="仿宋_GB2312"/>
          <w:bCs/>
          <w:color w:val="000000"/>
          <w:kern w:val="2"/>
          <w:sz w:val="32"/>
          <w:szCs w:val="32"/>
          <w:lang w:eastAsia="zh-CN" w:bidi="ar"/>
        </w:rPr>
        <w:drawing>
          <wp:inline distT="0" distB="0" distL="114300" distR="114300">
            <wp:extent cx="4239895" cy="1611630"/>
            <wp:effectExtent l="4445" t="4445" r="22860" b="222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79" w:name="_Toc15924"/>
      <w:bookmarkStart w:id="80" w:name="_Toc7721"/>
      <w:bookmarkStart w:id="81" w:name="_Toc20004"/>
      <w:bookmarkStart w:id="82" w:name="_Toc19412"/>
      <w:r>
        <w:rPr>
          <w:rFonts w:hint="eastAsia"/>
        </w:rPr>
        <w:t>2、用人单位对我</w:t>
      </w:r>
      <w:r>
        <w:rPr>
          <w:rFonts w:hint="eastAsia"/>
          <w:lang w:eastAsia="zh-CN"/>
        </w:rPr>
        <w:t>院</w:t>
      </w:r>
      <w:r>
        <w:rPr>
          <w:rFonts w:hint="eastAsia"/>
        </w:rPr>
        <w:t>毕业生综合素质的评价</w:t>
      </w:r>
      <w:bookmarkEnd w:id="79"/>
      <w:bookmarkEnd w:id="80"/>
      <w:bookmarkEnd w:id="81"/>
      <w:bookmarkEnd w:id="82"/>
    </w:p>
    <w:p>
      <w:pPr>
        <w:spacing w:line="360" w:lineRule="auto"/>
        <w:ind w:firstLine="640" w:firstLineChars="200"/>
        <w:rPr>
          <w:rFonts w:hint="eastAsia" w:ascii="仿宋" w:hAnsi="仿宋" w:eastAsia="仿宋" w:cs="仿宋"/>
          <w:bCs/>
          <w:color w:val="000000"/>
          <w:sz w:val="32"/>
          <w:szCs w:val="32"/>
          <w:lang w:bidi="ar"/>
        </w:rPr>
      </w:pPr>
      <w:r>
        <w:rPr>
          <w:rFonts w:hint="eastAsia" w:ascii="仿宋" w:hAnsi="仿宋" w:eastAsia="仿宋" w:cs="仿宋"/>
          <w:color w:val="000000"/>
          <w:sz w:val="32"/>
          <w:szCs w:val="32"/>
          <w:lang w:bidi="ar"/>
        </w:rPr>
        <w:t>用人单位对我</w:t>
      </w:r>
      <w:r>
        <w:rPr>
          <w:rFonts w:hint="eastAsia" w:ascii="仿宋" w:hAnsi="仿宋" w:eastAsia="仿宋" w:cs="仿宋"/>
          <w:color w:val="000000"/>
          <w:sz w:val="32"/>
          <w:szCs w:val="32"/>
          <w:lang w:eastAsia="zh-CN" w:bidi="ar"/>
        </w:rPr>
        <w:t>院</w:t>
      </w:r>
      <w:r>
        <w:rPr>
          <w:rFonts w:hint="eastAsia" w:ascii="仿宋" w:hAnsi="仿宋" w:eastAsia="仿宋" w:cs="仿宋"/>
          <w:color w:val="000000"/>
          <w:sz w:val="32"/>
          <w:szCs w:val="32"/>
          <w:lang w:bidi="ar"/>
        </w:rPr>
        <w:t>毕业生的敬业精神、专业技能、工作能力、文化素养等方面的评价总体较好，对我院201</w:t>
      </w:r>
      <w:r>
        <w:rPr>
          <w:rFonts w:hint="eastAsia" w:ascii="仿宋" w:hAnsi="仿宋" w:eastAsia="仿宋" w:cs="仿宋"/>
          <w:color w:val="000000"/>
          <w:sz w:val="32"/>
          <w:szCs w:val="32"/>
          <w:lang w:val="en-US" w:eastAsia="zh-CN" w:bidi="ar"/>
        </w:rPr>
        <w:t>7</w:t>
      </w:r>
      <w:r>
        <w:rPr>
          <w:rFonts w:hint="eastAsia" w:ascii="仿宋" w:hAnsi="仿宋" w:eastAsia="仿宋" w:cs="仿宋"/>
          <w:color w:val="000000"/>
          <w:sz w:val="32"/>
          <w:szCs w:val="32"/>
          <w:lang w:bidi="ar"/>
        </w:rPr>
        <w:t>届毕业生综合素质满意</w:t>
      </w:r>
      <w:r>
        <w:rPr>
          <w:rFonts w:hint="eastAsia" w:ascii="仿宋" w:hAnsi="仿宋" w:eastAsia="仿宋" w:cs="仿宋"/>
          <w:color w:val="auto"/>
          <w:sz w:val="32"/>
          <w:szCs w:val="32"/>
          <w:lang w:bidi="ar"/>
        </w:rPr>
        <w:t>度为</w:t>
      </w:r>
      <w:r>
        <w:rPr>
          <w:rFonts w:hint="eastAsia" w:ascii="仿宋" w:hAnsi="仿宋" w:eastAsia="仿宋" w:cs="仿宋"/>
          <w:color w:val="auto"/>
          <w:sz w:val="32"/>
          <w:szCs w:val="32"/>
          <w:lang w:val="en-US" w:eastAsia="zh-CN" w:bidi="ar"/>
        </w:rPr>
        <w:t>93.75</w:t>
      </w:r>
      <w:r>
        <w:rPr>
          <w:rFonts w:hint="eastAsia" w:ascii="仿宋" w:hAnsi="仿宋" w:eastAsia="仿宋" w:cs="仿宋"/>
          <w:color w:val="auto"/>
          <w:sz w:val="32"/>
          <w:szCs w:val="32"/>
          <w:lang w:bidi="ar"/>
        </w:rPr>
        <w:t>%，</w:t>
      </w:r>
      <w:r>
        <w:rPr>
          <w:rFonts w:hint="eastAsia" w:ascii="仿宋" w:hAnsi="仿宋" w:eastAsia="仿宋" w:cs="仿宋"/>
          <w:color w:val="000000"/>
          <w:sz w:val="32"/>
          <w:szCs w:val="32"/>
          <w:lang w:bidi="ar"/>
        </w:rPr>
        <w:t>其中满意度最高的是</w:t>
      </w:r>
      <w:r>
        <w:rPr>
          <w:rFonts w:hint="eastAsia" w:ascii="仿宋" w:hAnsi="仿宋" w:eastAsia="仿宋" w:cs="仿宋"/>
          <w:color w:val="000000"/>
          <w:sz w:val="32"/>
          <w:szCs w:val="32"/>
          <w:lang w:eastAsia="zh-CN" w:bidi="ar"/>
        </w:rPr>
        <w:t>职业操守</w:t>
      </w:r>
      <w:r>
        <w:rPr>
          <w:rFonts w:hint="eastAsia" w:ascii="仿宋" w:hAnsi="仿宋" w:eastAsia="仿宋" w:cs="仿宋"/>
          <w:color w:val="000000"/>
          <w:sz w:val="32"/>
          <w:szCs w:val="32"/>
          <w:lang w:bidi="ar"/>
        </w:rPr>
        <w:t>，为</w:t>
      </w:r>
      <w:r>
        <w:rPr>
          <w:rFonts w:hint="eastAsia" w:ascii="仿宋" w:hAnsi="仿宋" w:eastAsia="仿宋" w:cs="仿宋"/>
          <w:color w:val="auto"/>
          <w:sz w:val="32"/>
          <w:szCs w:val="32"/>
          <w:lang w:val="en-US" w:eastAsia="zh-CN" w:bidi="ar"/>
        </w:rPr>
        <w:t>96.88%</w:t>
      </w:r>
      <w:r>
        <w:rPr>
          <w:rFonts w:hint="eastAsia" w:ascii="仿宋" w:hAnsi="仿宋" w:eastAsia="仿宋" w:cs="仿宋"/>
          <w:color w:val="auto"/>
          <w:sz w:val="32"/>
          <w:szCs w:val="32"/>
          <w:lang w:bidi="ar"/>
        </w:rPr>
        <w:t>，其次是文化素养，为</w:t>
      </w:r>
      <w:r>
        <w:rPr>
          <w:rFonts w:hint="eastAsia" w:ascii="仿宋" w:hAnsi="仿宋" w:eastAsia="仿宋" w:cs="仿宋"/>
          <w:color w:val="auto"/>
          <w:sz w:val="32"/>
          <w:szCs w:val="32"/>
          <w:lang w:val="en-US" w:eastAsia="zh-CN" w:bidi="ar"/>
        </w:rPr>
        <w:t>90.63%</w:t>
      </w:r>
      <w:r>
        <w:rPr>
          <w:rFonts w:hint="eastAsia" w:ascii="仿宋" w:hAnsi="仿宋" w:eastAsia="仿宋" w:cs="仿宋"/>
          <w:color w:val="auto"/>
          <w:sz w:val="32"/>
          <w:szCs w:val="32"/>
          <w:lang w:bidi="ar"/>
        </w:rPr>
        <w:t>。</w:t>
      </w:r>
      <w:r>
        <w:rPr>
          <w:rFonts w:hint="eastAsia" w:ascii="仿宋" w:hAnsi="仿宋" w:eastAsia="仿宋" w:cs="仿宋"/>
          <w:bCs/>
          <w:color w:val="000000"/>
          <w:sz w:val="32"/>
          <w:szCs w:val="32"/>
          <w:lang w:bidi="ar"/>
        </w:rPr>
        <w:t>详见图2.1.2。</w:t>
      </w:r>
    </w:p>
    <w:p>
      <w:pPr>
        <w:spacing w:line="360" w:lineRule="auto"/>
        <w:ind w:firstLine="640" w:firstLineChars="200"/>
        <w:rPr>
          <w:rFonts w:hint="eastAsia" w:ascii="仿宋" w:hAnsi="仿宋" w:eastAsia="仿宋" w:cs="仿宋"/>
          <w:bCs/>
          <w:color w:val="000000"/>
          <w:sz w:val="32"/>
          <w:szCs w:val="32"/>
          <w:lang w:bidi="ar"/>
        </w:rPr>
      </w:pPr>
    </w:p>
    <w:p>
      <w:pPr>
        <w:spacing w:line="360" w:lineRule="auto"/>
        <w:ind w:firstLine="640" w:firstLineChars="200"/>
        <w:rPr>
          <w:rFonts w:hint="eastAsia" w:ascii="仿宋" w:hAnsi="仿宋" w:eastAsia="仿宋" w:cs="仿宋"/>
          <w:bCs/>
          <w:color w:val="000000"/>
          <w:sz w:val="32"/>
          <w:szCs w:val="32"/>
          <w:lang w:bidi="ar"/>
        </w:rPr>
      </w:pPr>
    </w:p>
    <w:p>
      <w:pPr>
        <w:spacing w:line="360" w:lineRule="auto"/>
        <w:ind w:firstLine="640" w:firstLineChars="200"/>
        <w:rPr>
          <w:rFonts w:hint="eastAsia" w:ascii="仿宋" w:hAnsi="仿宋" w:eastAsia="仿宋" w:cs="仿宋"/>
          <w:bCs/>
          <w:color w:val="000000"/>
          <w:sz w:val="32"/>
          <w:szCs w:val="32"/>
          <w:lang w:bidi="ar"/>
        </w:rPr>
      </w:pPr>
    </w:p>
    <w:p>
      <w:pPr>
        <w:spacing w:line="360" w:lineRule="auto"/>
        <w:ind w:firstLine="640" w:firstLineChars="200"/>
        <w:rPr>
          <w:rFonts w:hint="eastAsia" w:ascii="仿宋" w:hAnsi="仿宋" w:eastAsia="仿宋" w:cs="仿宋"/>
          <w:bCs/>
          <w:color w:val="000000"/>
          <w:sz w:val="32"/>
          <w:szCs w:val="32"/>
          <w:lang w:bidi="ar"/>
        </w:rPr>
      </w:pPr>
    </w:p>
    <w:p>
      <w:pPr>
        <w:spacing w:line="360" w:lineRule="auto"/>
        <w:ind w:firstLine="640" w:firstLineChars="200"/>
        <w:rPr>
          <w:rFonts w:hint="eastAsia" w:ascii="仿宋" w:hAnsi="仿宋" w:eastAsia="仿宋" w:cs="仿宋"/>
          <w:bCs/>
          <w:color w:val="000000"/>
          <w:sz w:val="32"/>
          <w:szCs w:val="32"/>
          <w:lang w:bidi="ar"/>
        </w:rPr>
      </w:pPr>
    </w:p>
    <w:p>
      <w:pPr>
        <w:pStyle w:val="11"/>
        <w:spacing w:line="240" w:lineRule="atLeast"/>
        <w:ind w:firstLine="843" w:firstLineChars="300"/>
        <w:jc w:val="both"/>
        <w:rPr>
          <w:rFonts w:hint="eastAsia" w:ascii="仿宋_GB2312" w:hAnsi="微软雅黑" w:eastAsia="仿宋_GB2312" w:cs="仿宋_GB2312"/>
          <w:b/>
          <w:color w:val="0070C0"/>
          <w:kern w:val="2"/>
          <w:sz w:val="28"/>
          <w:szCs w:val="28"/>
          <w:lang w:bidi="ar"/>
        </w:rPr>
      </w:pPr>
      <w:r>
        <w:rPr>
          <w:rFonts w:hint="eastAsia" w:ascii="仿宋_GB2312" w:hAnsi="微软雅黑" w:eastAsia="仿宋_GB2312" w:cs="仿宋_GB2312"/>
          <w:b/>
          <w:color w:val="0070C0"/>
          <w:kern w:val="2"/>
          <w:sz w:val="28"/>
          <w:szCs w:val="28"/>
          <w:lang w:bidi="ar"/>
        </w:rPr>
        <w:t xml:space="preserve"> </w:t>
      </w:r>
      <w:r>
        <w:rPr>
          <w:rFonts w:hint="eastAsia" w:ascii="仿宋_GB2312" w:hAnsi="微软雅黑" w:eastAsia="仿宋_GB2312" w:cs="仿宋_GB2312"/>
          <w:b/>
          <w:color w:val="auto"/>
          <w:kern w:val="2"/>
          <w:sz w:val="28"/>
          <w:szCs w:val="28"/>
          <w:lang w:bidi="ar"/>
        </w:rPr>
        <w:t>图2.1.2用人单位对我院201</w:t>
      </w:r>
      <w:r>
        <w:rPr>
          <w:rFonts w:hint="eastAsia" w:ascii="仿宋_GB2312" w:hAnsi="微软雅黑" w:eastAsia="仿宋_GB2312" w:cs="仿宋_GB2312"/>
          <w:b/>
          <w:color w:val="auto"/>
          <w:kern w:val="2"/>
          <w:sz w:val="28"/>
          <w:szCs w:val="28"/>
          <w:lang w:val="en-US" w:eastAsia="zh-CN" w:bidi="ar"/>
        </w:rPr>
        <w:t>7</w:t>
      </w:r>
      <w:r>
        <w:rPr>
          <w:rFonts w:hint="eastAsia" w:ascii="仿宋_GB2312" w:hAnsi="微软雅黑" w:eastAsia="仿宋_GB2312" w:cs="仿宋_GB2312"/>
          <w:b/>
          <w:color w:val="auto"/>
          <w:kern w:val="2"/>
          <w:sz w:val="28"/>
          <w:szCs w:val="28"/>
          <w:lang w:bidi="ar"/>
        </w:rPr>
        <w:t>届毕业生素质满意度</w:t>
      </w:r>
      <w:bookmarkStart w:id="83" w:name="_Toc25979"/>
    </w:p>
    <w:p>
      <w:pPr>
        <w:pStyle w:val="11"/>
        <w:spacing w:line="240" w:lineRule="atLeast"/>
        <w:jc w:val="both"/>
        <w:rPr>
          <w:rFonts w:hint="eastAsia" w:ascii="仿宋_GB2312" w:hAnsi="微软雅黑" w:eastAsia="仿宋_GB2312" w:cs="仿宋_GB2312"/>
          <w:b/>
          <w:color w:val="000000"/>
          <w:kern w:val="2"/>
          <w:sz w:val="28"/>
          <w:szCs w:val="28"/>
          <w:lang w:bidi="ar"/>
        </w:rPr>
      </w:pPr>
      <w:r>
        <w:rPr>
          <w:rFonts w:hint="eastAsia" w:ascii="仿宋_GB2312" w:hAnsi="微软雅黑" w:eastAsia="仿宋_GB2312" w:cs="仿宋_GB2312"/>
          <w:bCs/>
          <w:color w:val="000000"/>
          <w:kern w:val="2"/>
          <w:sz w:val="32"/>
          <w:szCs w:val="32"/>
        </w:rPr>
        <w:drawing>
          <wp:inline distT="0" distB="0" distL="114300" distR="114300">
            <wp:extent cx="5282565" cy="2335530"/>
            <wp:effectExtent l="4445" t="4445" r="8890" b="222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84" w:name="_Toc22930"/>
      <w:bookmarkStart w:id="85" w:name="_Toc24675"/>
      <w:bookmarkStart w:id="86" w:name="_Toc19002"/>
      <w:r>
        <w:rPr>
          <w:rFonts w:hint="eastAsia"/>
        </w:rPr>
        <w:t>3、用人单位对我</w:t>
      </w:r>
      <w:r>
        <w:rPr>
          <w:rFonts w:hint="eastAsia"/>
          <w:lang w:eastAsia="zh-CN"/>
        </w:rPr>
        <w:t>院</w:t>
      </w:r>
      <w:r>
        <w:rPr>
          <w:rFonts w:hint="eastAsia"/>
        </w:rPr>
        <w:t>就业指导服务工作的评价</w:t>
      </w:r>
      <w:bookmarkEnd w:id="83"/>
      <w:bookmarkEnd w:id="84"/>
      <w:bookmarkEnd w:id="85"/>
      <w:bookmarkEnd w:id="86"/>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lang w:bidi="ar"/>
        </w:rPr>
        <w:t xml:space="preserve">     用人单位对我</w:t>
      </w:r>
      <w:r>
        <w:rPr>
          <w:rFonts w:hint="eastAsia" w:ascii="仿宋" w:hAnsi="仿宋" w:eastAsia="仿宋" w:cs="仿宋"/>
          <w:color w:val="000000"/>
          <w:sz w:val="32"/>
          <w:szCs w:val="32"/>
          <w:lang w:eastAsia="zh-CN" w:bidi="ar"/>
        </w:rPr>
        <w:t>院</w:t>
      </w:r>
      <w:r>
        <w:rPr>
          <w:rFonts w:hint="eastAsia" w:ascii="仿宋" w:hAnsi="仿宋" w:eastAsia="仿宋" w:cs="仿宋"/>
          <w:color w:val="000000"/>
          <w:sz w:val="32"/>
          <w:szCs w:val="32"/>
          <w:lang w:bidi="ar"/>
        </w:rPr>
        <w:t>的就业工作给予了较好的评价，满意率为</w:t>
      </w:r>
      <w:r>
        <w:rPr>
          <w:rFonts w:hint="eastAsia" w:ascii="仿宋" w:hAnsi="仿宋" w:eastAsia="仿宋" w:cs="仿宋"/>
          <w:color w:val="000000"/>
          <w:sz w:val="32"/>
          <w:szCs w:val="32"/>
          <w:lang w:val="en-US" w:eastAsia="zh-CN" w:bidi="ar"/>
        </w:rPr>
        <w:t>87.5</w:t>
      </w:r>
      <w:r>
        <w:rPr>
          <w:rFonts w:hint="eastAsia" w:ascii="仿宋" w:hAnsi="仿宋" w:eastAsia="仿宋" w:cs="仿宋"/>
          <w:color w:val="auto"/>
          <w:sz w:val="32"/>
          <w:szCs w:val="32"/>
          <w:lang w:bidi="ar"/>
        </w:rPr>
        <w:t>%</w:t>
      </w:r>
      <w:r>
        <w:rPr>
          <w:rFonts w:hint="eastAsia" w:ascii="仿宋" w:hAnsi="仿宋" w:eastAsia="仿宋" w:cs="仿宋"/>
          <w:bCs/>
          <w:color w:val="000000"/>
          <w:sz w:val="32"/>
          <w:szCs w:val="32"/>
          <w:lang w:bidi="ar"/>
        </w:rPr>
        <w:t>。</w:t>
      </w:r>
    </w:p>
    <w:p>
      <w:pPr>
        <w:pStyle w:val="11"/>
        <w:spacing w:line="360" w:lineRule="auto"/>
        <w:ind w:firstLine="640" w:firstLineChars="200"/>
        <w:jc w:val="both"/>
        <w:rPr>
          <w:rFonts w:ascii="仿宋" w:hAnsi="仿宋" w:eastAsia="仿宋" w:cs="仿宋"/>
          <w:bCs/>
          <w:color w:val="auto"/>
          <w:kern w:val="2"/>
          <w:sz w:val="32"/>
          <w:szCs w:val="32"/>
          <w:lang w:bidi="ar"/>
        </w:rPr>
      </w:pPr>
      <w:r>
        <w:rPr>
          <w:rFonts w:hint="eastAsia" w:ascii="仿宋" w:hAnsi="仿宋" w:eastAsia="仿宋" w:cs="仿宋"/>
          <w:bCs/>
          <w:color w:val="000000"/>
          <w:kern w:val="2"/>
          <w:sz w:val="32"/>
          <w:szCs w:val="32"/>
          <w:lang w:bidi="ar"/>
        </w:rPr>
        <w:t>抽样调查的</w:t>
      </w:r>
      <w:r>
        <w:rPr>
          <w:rFonts w:hint="eastAsia" w:ascii="仿宋" w:hAnsi="仿宋" w:eastAsia="仿宋" w:cs="仿宋"/>
          <w:bCs/>
          <w:color w:val="auto"/>
          <w:kern w:val="2"/>
          <w:sz w:val="32"/>
          <w:szCs w:val="32"/>
          <w:lang w:bidi="ar"/>
        </w:rPr>
        <w:t>3</w:t>
      </w:r>
      <w:r>
        <w:rPr>
          <w:rFonts w:hint="eastAsia" w:ascii="仿宋" w:hAnsi="仿宋" w:eastAsia="仿宋" w:cs="仿宋"/>
          <w:bCs/>
          <w:color w:val="auto"/>
          <w:kern w:val="2"/>
          <w:sz w:val="32"/>
          <w:szCs w:val="32"/>
          <w:lang w:val="en-US" w:eastAsia="zh-CN" w:bidi="ar"/>
        </w:rPr>
        <w:t>2</w:t>
      </w:r>
      <w:r>
        <w:rPr>
          <w:rFonts w:hint="eastAsia" w:ascii="仿宋" w:hAnsi="仿宋" w:eastAsia="仿宋" w:cs="仿宋"/>
          <w:bCs/>
          <w:color w:val="auto"/>
          <w:kern w:val="2"/>
          <w:sz w:val="32"/>
          <w:szCs w:val="32"/>
          <w:lang w:bidi="ar"/>
        </w:rPr>
        <w:t>家</w:t>
      </w:r>
      <w:r>
        <w:rPr>
          <w:rFonts w:hint="eastAsia" w:ascii="仿宋" w:hAnsi="仿宋" w:eastAsia="仿宋" w:cs="仿宋"/>
          <w:bCs/>
          <w:color w:val="000000"/>
          <w:kern w:val="2"/>
          <w:sz w:val="32"/>
          <w:szCs w:val="32"/>
          <w:lang w:bidi="ar"/>
        </w:rPr>
        <w:t>用人单位中，对目前工作“满意”的占</w:t>
      </w:r>
      <w:r>
        <w:rPr>
          <w:rFonts w:hint="eastAsia" w:ascii="仿宋" w:hAnsi="仿宋" w:eastAsia="仿宋" w:cs="仿宋"/>
          <w:bCs/>
          <w:color w:val="auto"/>
          <w:kern w:val="2"/>
          <w:sz w:val="32"/>
          <w:szCs w:val="32"/>
          <w:lang w:bidi="ar"/>
        </w:rPr>
        <w:t>87.</w:t>
      </w:r>
      <w:r>
        <w:rPr>
          <w:rFonts w:hint="eastAsia" w:ascii="仿宋" w:hAnsi="仿宋" w:eastAsia="仿宋" w:cs="仿宋"/>
          <w:bCs/>
          <w:color w:val="auto"/>
          <w:kern w:val="2"/>
          <w:sz w:val="32"/>
          <w:szCs w:val="32"/>
          <w:lang w:val="en-US" w:eastAsia="zh-CN" w:bidi="ar"/>
        </w:rPr>
        <w:t>5</w:t>
      </w:r>
      <w:r>
        <w:rPr>
          <w:rFonts w:hint="eastAsia" w:ascii="仿宋" w:hAnsi="仿宋" w:eastAsia="仿宋" w:cs="仿宋"/>
          <w:bCs/>
          <w:color w:val="auto"/>
          <w:kern w:val="2"/>
          <w:sz w:val="32"/>
          <w:szCs w:val="32"/>
          <w:lang w:bidi="ar"/>
        </w:rPr>
        <w:t>%，“比较满意”的占</w:t>
      </w:r>
      <w:r>
        <w:rPr>
          <w:rFonts w:hint="eastAsia" w:ascii="仿宋" w:hAnsi="仿宋" w:eastAsia="仿宋" w:cs="仿宋"/>
          <w:bCs/>
          <w:color w:val="auto"/>
          <w:kern w:val="2"/>
          <w:sz w:val="32"/>
          <w:szCs w:val="32"/>
          <w:lang w:val="en-US" w:eastAsia="zh-CN" w:bidi="ar"/>
        </w:rPr>
        <w:t>12.5</w:t>
      </w:r>
      <w:r>
        <w:rPr>
          <w:rFonts w:hint="eastAsia" w:ascii="仿宋" w:hAnsi="仿宋" w:eastAsia="仿宋" w:cs="仿宋"/>
          <w:bCs/>
          <w:color w:val="auto"/>
          <w:kern w:val="2"/>
          <w:sz w:val="32"/>
          <w:szCs w:val="32"/>
          <w:lang w:bidi="ar"/>
        </w:rPr>
        <w:t>%，“一般”的占</w:t>
      </w:r>
      <w:r>
        <w:rPr>
          <w:rFonts w:hint="eastAsia" w:ascii="仿宋" w:hAnsi="仿宋" w:eastAsia="仿宋" w:cs="仿宋"/>
          <w:bCs/>
          <w:color w:val="auto"/>
          <w:kern w:val="2"/>
          <w:sz w:val="32"/>
          <w:szCs w:val="32"/>
          <w:lang w:val="en-US" w:eastAsia="zh-CN" w:bidi="ar"/>
        </w:rPr>
        <w:t>0.00</w:t>
      </w:r>
      <w:r>
        <w:rPr>
          <w:rFonts w:hint="eastAsia" w:ascii="仿宋" w:hAnsi="仿宋" w:eastAsia="仿宋" w:cs="仿宋"/>
          <w:bCs/>
          <w:color w:val="auto"/>
          <w:kern w:val="2"/>
          <w:sz w:val="32"/>
          <w:szCs w:val="32"/>
          <w:lang w:bidi="ar"/>
        </w:rPr>
        <w:t>%，“不满意”的占0.00%，详见图2.1.3。</w:t>
      </w:r>
    </w:p>
    <w:p>
      <w:pPr>
        <w:pStyle w:val="11"/>
        <w:spacing w:line="360" w:lineRule="auto"/>
        <w:jc w:val="center"/>
        <w:rPr>
          <w:rFonts w:ascii="仿宋_GB2312" w:hAnsi="微软雅黑" w:eastAsia="仿宋_GB2312" w:cs="仿宋_GB2312"/>
          <w:b/>
          <w:color w:val="000000"/>
          <w:kern w:val="2"/>
          <w:sz w:val="28"/>
          <w:szCs w:val="28"/>
          <w:lang w:bidi="ar"/>
        </w:rPr>
      </w:pPr>
      <w:r>
        <w:rPr>
          <w:rFonts w:hint="eastAsia" w:ascii="仿宋_GB2312" w:hAnsi="微软雅黑" w:eastAsia="仿宋_GB2312" w:cs="仿宋_GB2312"/>
          <w:b/>
          <w:color w:val="000000"/>
          <w:kern w:val="2"/>
          <w:lang w:bidi="ar"/>
        </w:rPr>
        <w:t>图</w:t>
      </w:r>
      <w:r>
        <w:rPr>
          <w:rFonts w:hint="eastAsia" w:ascii="仿宋_GB2312" w:hAnsi="微软雅黑" w:eastAsia="仿宋_GB2312" w:cs="仿宋_GB2312"/>
          <w:bCs/>
          <w:color w:val="000000"/>
          <w:kern w:val="2"/>
          <w:lang w:bidi="ar"/>
        </w:rPr>
        <w:t>2.1.3</w:t>
      </w:r>
      <w:r>
        <w:rPr>
          <w:rFonts w:hint="eastAsia" w:ascii="仿宋_GB2312" w:hAnsi="微软雅黑" w:eastAsia="仿宋_GB2312"/>
          <w:b/>
          <w:color w:val="000000"/>
          <w:kern w:val="2"/>
          <w:lang w:bidi="ar"/>
        </w:rPr>
        <w:t>用人单位对我院就业指导服务工作的满意度</w:t>
      </w:r>
      <w:r>
        <w:rPr>
          <w:rFonts w:hint="eastAsia" w:ascii="仿宋_GB2312" w:hAnsi="微软雅黑" w:eastAsia="仿宋_GB2312" w:cs="仿宋_GB2312"/>
          <w:b/>
          <w:color w:val="000000"/>
          <w:kern w:val="2"/>
          <w:sz w:val="28"/>
          <w:szCs w:val="28"/>
        </w:rPr>
        <w:drawing>
          <wp:inline distT="0" distB="0" distL="114300" distR="114300">
            <wp:extent cx="5124450" cy="2270125"/>
            <wp:effectExtent l="4445" t="4445" r="14605"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4"/>
        <w:spacing w:line="360" w:lineRule="auto"/>
        <w:ind w:firstLine="643"/>
        <w:rPr>
          <w:rFonts w:ascii="仿宋_GB2312" w:hAnsi="微软雅黑" w:eastAsia="仿宋_GB2312"/>
          <w:b/>
          <w:bCs/>
          <w:color w:val="0000FF"/>
          <w:sz w:val="32"/>
          <w:szCs w:val="32"/>
        </w:rPr>
      </w:pP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87" w:name="_Toc31910"/>
      <w:bookmarkStart w:id="88" w:name="_Toc11831"/>
      <w:bookmarkStart w:id="89" w:name="_Toc14962"/>
      <w:r>
        <w:rPr>
          <w:rFonts w:hint="eastAsia"/>
        </w:rPr>
        <w:t>（二）抽样调查的毕业生就业情况</w:t>
      </w:r>
      <w:bookmarkEnd w:id="87"/>
      <w:bookmarkEnd w:id="88"/>
      <w:bookmarkEnd w:id="89"/>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90" w:name="_Toc16250"/>
      <w:bookmarkStart w:id="91" w:name="_Toc5180"/>
      <w:bookmarkStart w:id="92" w:name="_Toc29414"/>
      <w:r>
        <w:rPr>
          <w:rFonts w:hint="eastAsia"/>
        </w:rPr>
        <w:t>1、就业单位性质分布</w:t>
      </w:r>
      <w:bookmarkEnd w:id="90"/>
      <w:bookmarkEnd w:id="91"/>
      <w:bookmarkEnd w:id="92"/>
    </w:p>
    <w:p>
      <w:pPr>
        <w:pStyle w:val="23"/>
        <w:spacing w:line="360" w:lineRule="auto"/>
        <w:ind w:firstLine="640"/>
        <w:rPr>
          <w:rFonts w:ascii="仿宋_GB2312" w:hAnsi="微软雅黑" w:eastAsia="仿宋_GB2312"/>
          <w:bCs/>
          <w:color w:val="FF0000"/>
          <w:sz w:val="32"/>
          <w:szCs w:val="32"/>
        </w:rPr>
      </w:pPr>
      <w:r>
        <w:rPr>
          <w:rFonts w:hint="eastAsia" w:ascii="仿宋_GB2312" w:hAnsi="微软雅黑" w:eastAsia="仿宋_GB2312"/>
          <w:bCs/>
          <w:color w:val="auto"/>
          <w:sz w:val="32"/>
          <w:szCs w:val="32"/>
        </w:rPr>
        <w:t>抽样调查的1</w:t>
      </w:r>
      <w:r>
        <w:rPr>
          <w:rFonts w:hint="eastAsia" w:ascii="仿宋_GB2312" w:hAnsi="微软雅黑" w:eastAsia="仿宋_GB2312"/>
          <w:bCs/>
          <w:color w:val="auto"/>
          <w:sz w:val="32"/>
          <w:szCs w:val="32"/>
          <w:lang w:val="en-US" w:eastAsia="zh-CN"/>
        </w:rPr>
        <w:t>11</w:t>
      </w:r>
      <w:r>
        <w:rPr>
          <w:rFonts w:hint="eastAsia" w:ascii="仿宋_GB2312" w:hAnsi="微软雅黑" w:eastAsia="仿宋_GB2312"/>
          <w:bCs/>
          <w:color w:val="auto"/>
          <w:sz w:val="32"/>
          <w:szCs w:val="32"/>
        </w:rPr>
        <w:t>名毕业生中，机关单位</w:t>
      </w:r>
      <w:r>
        <w:rPr>
          <w:rFonts w:hint="eastAsia" w:ascii="仿宋_GB2312" w:hAnsi="微软雅黑" w:eastAsia="仿宋_GB2312"/>
          <w:bCs/>
          <w:color w:val="auto"/>
          <w:sz w:val="32"/>
          <w:szCs w:val="32"/>
          <w:lang w:val="en-US" w:eastAsia="zh-CN"/>
        </w:rPr>
        <w:t>4</w:t>
      </w:r>
      <w:r>
        <w:rPr>
          <w:rFonts w:hint="eastAsia" w:ascii="仿宋_GB2312" w:hAnsi="微软雅黑" w:eastAsia="仿宋_GB2312"/>
          <w:bCs/>
          <w:color w:val="auto"/>
          <w:sz w:val="32"/>
          <w:szCs w:val="32"/>
        </w:rPr>
        <w:t>人，占</w:t>
      </w:r>
      <w:r>
        <w:rPr>
          <w:rFonts w:hint="eastAsia" w:ascii="仿宋_GB2312" w:hAnsi="微软雅黑" w:eastAsia="仿宋_GB2312"/>
          <w:bCs/>
          <w:color w:val="auto"/>
          <w:sz w:val="32"/>
          <w:szCs w:val="32"/>
          <w:lang w:val="en-US" w:eastAsia="zh-CN"/>
        </w:rPr>
        <w:t>3.60</w:t>
      </w:r>
      <w:r>
        <w:rPr>
          <w:rFonts w:hint="eastAsia" w:ascii="仿宋_GB2312" w:hAnsi="微软雅黑" w:eastAsia="仿宋_GB2312"/>
          <w:bCs/>
          <w:color w:val="auto"/>
          <w:sz w:val="32"/>
          <w:szCs w:val="32"/>
        </w:rPr>
        <w:t>%；企业单位</w:t>
      </w:r>
      <w:r>
        <w:rPr>
          <w:rFonts w:hint="eastAsia" w:ascii="仿宋_GB2312" w:hAnsi="微软雅黑" w:eastAsia="仿宋_GB2312"/>
          <w:bCs/>
          <w:color w:val="auto"/>
          <w:sz w:val="32"/>
          <w:szCs w:val="32"/>
          <w:lang w:val="en-US" w:eastAsia="zh-CN"/>
        </w:rPr>
        <w:t>92</w:t>
      </w:r>
      <w:r>
        <w:rPr>
          <w:rFonts w:hint="eastAsia" w:ascii="仿宋_GB2312" w:hAnsi="微软雅黑" w:eastAsia="仿宋_GB2312"/>
          <w:bCs/>
          <w:color w:val="auto"/>
          <w:sz w:val="32"/>
          <w:szCs w:val="32"/>
        </w:rPr>
        <w:t>人，占</w:t>
      </w:r>
      <w:r>
        <w:rPr>
          <w:rFonts w:hint="eastAsia" w:ascii="仿宋_GB2312" w:hAnsi="微软雅黑" w:eastAsia="仿宋_GB2312"/>
          <w:bCs/>
          <w:color w:val="auto"/>
          <w:sz w:val="32"/>
          <w:szCs w:val="32"/>
          <w:lang w:val="en-US" w:eastAsia="zh-CN"/>
        </w:rPr>
        <w:t>82.88</w:t>
      </w:r>
      <w:r>
        <w:rPr>
          <w:rFonts w:hint="eastAsia" w:ascii="仿宋_GB2312" w:hAnsi="微软雅黑" w:eastAsia="仿宋_GB2312"/>
          <w:bCs/>
          <w:color w:val="auto"/>
          <w:sz w:val="32"/>
          <w:szCs w:val="32"/>
        </w:rPr>
        <w:t>%；项目类单位1人，占</w:t>
      </w:r>
      <w:r>
        <w:rPr>
          <w:rFonts w:hint="eastAsia" w:ascii="仿宋_GB2312" w:hAnsi="微软雅黑" w:eastAsia="仿宋_GB2312"/>
          <w:bCs/>
          <w:color w:val="auto"/>
          <w:sz w:val="32"/>
          <w:szCs w:val="32"/>
          <w:lang w:val="en-US" w:eastAsia="zh-CN"/>
        </w:rPr>
        <w:t>0.90%</w:t>
      </w:r>
      <w:r>
        <w:rPr>
          <w:rFonts w:hint="eastAsia" w:ascii="仿宋_GB2312" w:hAnsi="微软雅黑" w:eastAsia="仿宋_GB2312"/>
          <w:bCs/>
          <w:color w:val="auto"/>
          <w:sz w:val="32"/>
          <w:szCs w:val="32"/>
        </w:rPr>
        <w:t>；</w:t>
      </w:r>
      <w:r>
        <w:rPr>
          <w:rFonts w:hint="eastAsia" w:ascii="仿宋_GB2312" w:hAnsi="微软雅黑" w:eastAsia="仿宋_GB2312"/>
          <w:bCs/>
          <w:color w:val="auto"/>
          <w:sz w:val="32"/>
          <w:szCs w:val="32"/>
          <w:lang w:eastAsia="zh-CN"/>
        </w:rPr>
        <w:t>医疗单位</w:t>
      </w:r>
      <w:r>
        <w:rPr>
          <w:rFonts w:hint="eastAsia" w:ascii="仿宋_GB2312" w:hAnsi="微软雅黑" w:eastAsia="仿宋_GB2312"/>
          <w:bCs/>
          <w:color w:val="auto"/>
          <w:sz w:val="32"/>
          <w:szCs w:val="32"/>
          <w:lang w:val="en-US" w:eastAsia="zh-CN"/>
        </w:rPr>
        <w:t>3人，占2.70%；</w:t>
      </w:r>
      <w:r>
        <w:rPr>
          <w:rFonts w:hint="eastAsia" w:ascii="仿宋_GB2312" w:hAnsi="微软雅黑" w:eastAsia="仿宋_GB2312"/>
          <w:bCs/>
          <w:color w:val="auto"/>
          <w:sz w:val="32"/>
          <w:szCs w:val="32"/>
        </w:rPr>
        <w:t>继续深造或出国</w:t>
      </w:r>
      <w:r>
        <w:rPr>
          <w:rFonts w:hint="eastAsia" w:ascii="仿宋_GB2312" w:hAnsi="微软雅黑" w:eastAsia="仿宋_GB2312"/>
          <w:bCs/>
          <w:color w:val="auto"/>
          <w:sz w:val="32"/>
          <w:szCs w:val="32"/>
          <w:lang w:val="en-US" w:eastAsia="zh-CN"/>
        </w:rPr>
        <w:t>11</w:t>
      </w:r>
      <w:r>
        <w:rPr>
          <w:rFonts w:hint="eastAsia" w:ascii="仿宋_GB2312" w:hAnsi="微软雅黑" w:eastAsia="仿宋_GB2312"/>
          <w:bCs/>
          <w:color w:val="auto"/>
          <w:sz w:val="32"/>
          <w:szCs w:val="32"/>
        </w:rPr>
        <w:t>人，占</w:t>
      </w:r>
      <w:r>
        <w:rPr>
          <w:rFonts w:hint="eastAsia" w:ascii="仿宋_GB2312" w:hAnsi="微软雅黑" w:eastAsia="仿宋_GB2312"/>
          <w:bCs/>
          <w:color w:val="auto"/>
          <w:sz w:val="32"/>
          <w:szCs w:val="32"/>
          <w:lang w:val="en-US" w:eastAsia="zh-CN"/>
        </w:rPr>
        <w:t>9.90</w:t>
      </w:r>
      <w:r>
        <w:rPr>
          <w:rFonts w:hint="eastAsia" w:ascii="仿宋_GB2312" w:hAnsi="微软雅黑" w:eastAsia="仿宋_GB2312"/>
          <w:bCs/>
          <w:color w:val="auto"/>
          <w:sz w:val="32"/>
          <w:szCs w:val="32"/>
        </w:rPr>
        <w:t>%。</w:t>
      </w:r>
    </w:p>
    <w:p>
      <w:pPr>
        <w:jc w:val="center"/>
        <w:rPr>
          <w:rFonts w:hint="eastAsia"/>
          <w:lang w:eastAsia="zh-CN"/>
        </w:rPr>
      </w:pPr>
      <w:r>
        <w:rPr>
          <w:rFonts w:hint="eastAsia"/>
          <w:lang w:eastAsia="zh-CN"/>
        </w:rPr>
        <w:drawing>
          <wp:inline distT="0" distB="0" distL="114300" distR="114300">
            <wp:extent cx="4500245" cy="2216150"/>
            <wp:effectExtent l="4445" t="4445" r="10160"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b/>
          <w:bCs/>
          <w:lang w:val="en-US" w:eastAsia="zh-CN"/>
        </w:rPr>
      </w:pPr>
      <w:r>
        <w:rPr>
          <w:rFonts w:hint="eastAsia"/>
          <w:b/>
          <w:bCs/>
          <w:lang w:val="en-US" w:eastAsia="zh-CN"/>
        </w:rPr>
        <w:t>2.2.1 抽样毕业生的就业单位性质分布</w:t>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rPr>
      </w:pPr>
      <w:bookmarkStart w:id="93" w:name="_Toc22136"/>
      <w:bookmarkStart w:id="94" w:name="_Toc26710"/>
      <w:bookmarkStart w:id="95" w:name="_Toc6199"/>
      <w:r>
        <w:rPr>
          <w:rFonts w:hint="eastAsia"/>
        </w:rPr>
        <w:t>2、毕业生月收入分布</w:t>
      </w:r>
      <w:bookmarkEnd w:id="93"/>
      <w:bookmarkEnd w:id="94"/>
      <w:bookmarkEnd w:id="95"/>
    </w:p>
    <w:p>
      <w:pPr>
        <w:pStyle w:val="23"/>
        <w:spacing w:line="360" w:lineRule="auto"/>
        <w:ind w:firstLine="640"/>
        <w:rPr>
          <w:rFonts w:ascii="仿宋_GB2312" w:hAnsi="微软雅黑" w:eastAsia="仿宋_GB2312"/>
          <w:bCs/>
          <w:color w:val="FF0000"/>
          <w:sz w:val="32"/>
          <w:szCs w:val="32"/>
        </w:rPr>
      </w:pPr>
      <w:r>
        <w:rPr>
          <w:rFonts w:hint="eastAsia" w:ascii="仿宋_GB2312" w:hAnsi="微软雅黑" w:eastAsia="仿宋_GB2312"/>
          <w:bCs/>
          <w:color w:val="auto"/>
          <w:sz w:val="32"/>
          <w:szCs w:val="32"/>
        </w:rPr>
        <w:t>抽抽样调查的毕业生1</w:t>
      </w:r>
      <w:r>
        <w:rPr>
          <w:rFonts w:hint="eastAsia" w:ascii="仿宋_GB2312" w:hAnsi="微软雅黑" w:eastAsia="仿宋_GB2312"/>
          <w:bCs/>
          <w:color w:val="auto"/>
          <w:sz w:val="32"/>
          <w:szCs w:val="32"/>
          <w:lang w:val="en-US" w:eastAsia="zh-CN"/>
        </w:rPr>
        <w:t>11</w:t>
      </w:r>
      <w:r>
        <w:rPr>
          <w:rFonts w:hint="eastAsia" w:ascii="仿宋_GB2312" w:hAnsi="微软雅黑" w:eastAsia="仿宋_GB2312"/>
          <w:bCs/>
          <w:color w:val="auto"/>
          <w:sz w:val="32"/>
          <w:szCs w:val="32"/>
        </w:rPr>
        <w:t>人中，月收入在3000元以上的</w:t>
      </w:r>
      <w:r>
        <w:rPr>
          <w:rFonts w:hint="eastAsia" w:ascii="仿宋_GB2312" w:hAnsi="微软雅黑" w:eastAsia="仿宋_GB2312"/>
          <w:bCs/>
          <w:color w:val="auto"/>
          <w:sz w:val="32"/>
          <w:szCs w:val="32"/>
          <w:lang w:val="en-US" w:eastAsia="zh-CN"/>
        </w:rPr>
        <w:t>97</w:t>
      </w:r>
      <w:r>
        <w:rPr>
          <w:rFonts w:hint="eastAsia" w:ascii="仿宋_GB2312" w:hAnsi="微软雅黑" w:eastAsia="仿宋_GB2312"/>
          <w:bCs/>
          <w:color w:val="auto"/>
          <w:sz w:val="32"/>
          <w:szCs w:val="32"/>
        </w:rPr>
        <w:t>人，占</w:t>
      </w:r>
      <w:r>
        <w:rPr>
          <w:rFonts w:hint="eastAsia" w:ascii="仿宋_GB2312" w:hAnsi="微软雅黑" w:eastAsia="仿宋_GB2312"/>
          <w:bCs/>
          <w:color w:val="auto"/>
          <w:sz w:val="32"/>
          <w:szCs w:val="32"/>
          <w:lang w:val="en-US" w:eastAsia="zh-CN"/>
        </w:rPr>
        <w:t>87.39%</w:t>
      </w:r>
      <w:r>
        <w:rPr>
          <w:rFonts w:hint="eastAsia" w:ascii="仿宋_GB2312" w:hAnsi="微软雅黑" w:eastAsia="仿宋_GB2312"/>
          <w:bCs/>
          <w:color w:val="auto"/>
          <w:sz w:val="32"/>
          <w:szCs w:val="32"/>
        </w:rPr>
        <w:t>。详见表2.2.2。</w:t>
      </w:r>
    </w:p>
    <w:p>
      <w:pPr>
        <w:pStyle w:val="23"/>
        <w:spacing w:line="360" w:lineRule="auto"/>
        <w:ind w:firstLine="0" w:firstLineChars="0"/>
        <w:jc w:val="center"/>
        <w:rPr>
          <w:rFonts w:ascii="仿宋_GB2312" w:hAnsi="微软雅黑" w:eastAsia="仿宋_GB2312"/>
          <w:b/>
          <w:bCs/>
          <w:color w:val="auto"/>
          <w:sz w:val="28"/>
          <w:szCs w:val="28"/>
        </w:rPr>
      </w:pPr>
      <w:r>
        <w:rPr>
          <w:rFonts w:hint="eastAsia" w:ascii="仿宋_GB2312" w:hAnsi="微软雅黑" w:eastAsia="仿宋_GB2312"/>
          <w:b/>
          <w:color w:val="auto"/>
          <w:sz w:val="28"/>
          <w:szCs w:val="28"/>
        </w:rPr>
        <w:t>表2.2.2抽样毕业生月收入情况</w:t>
      </w:r>
    </w:p>
    <w:tbl>
      <w:tblPr>
        <w:tblStyle w:val="16"/>
        <w:tblW w:w="8743" w:type="dxa"/>
        <w:tblInd w:w="93" w:type="dxa"/>
        <w:tblLayout w:type="fixed"/>
        <w:tblCellMar>
          <w:top w:w="0" w:type="dxa"/>
          <w:left w:w="108" w:type="dxa"/>
          <w:bottom w:w="0" w:type="dxa"/>
          <w:right w:w="108" w:type="dxa"/>
        </w:tblCellMar>
      </w:tblPr>
      <w:tblGrid>
        <w:gridCol w:w="1832"/>
        <w:gridCol w:w="1604"/>
        <w:gridCol w:w="1596"/>
        <w:gridCol w:w="1929"/>
        <w:gridCol w:w="1782"/>
      </w:tblGrid>
      <w:tr>
        <w:tblPrEx>
          <w:tblLayout w:type="fixed"/>
          <w:tblCellMar>
            <w:top w:w="0" w:type="dxa"/>
            <w:left w:w="108" w:type="dxa"/>
            <w:bottom w:w="0" w:type="dxa"/>
            <w:right w:w="108" w:type="dxa"/>
          </w:tblCellMar>
        </w:tblPrEx>
        <w:trPr>
          <w:trHeight w:val="986" w:hRule="atLeast"/>
        </w:trPr>
        <w:tc>
          <w:tcPr>
            <w:tcW w:w="1832" w:type="dxa"/>
            <w:tcBorders>
              <w:top w:val="single" w:color="auto" w:sz="8" w:space="0"/>
              <w:left w:val="single" w:color="auto" w:sz="8" w:space="0"/>
              <w:bottom w:val="single" w:color="auto" w:sz="8" w:space="0"/>
              <w:right w:val="single" w:color="auto" w:sz="8" w:space="0"/>
              <w:tl2br w:val="single" w:color="auto" w:sz="8" w:space="0"/>
            </w:tcBorders>
            <w:shd w:val="clear" w:color="auto" w:fill="DBE5F1"/>
            <w:vAlign w:val="center"/>
          </w:tcPr>
          <w:p>
            <w:pPr>
              <w:spacing w:line="300" w:lineRule="exact"/>
              <w:jc w:val="center"/>
              <w:rPr>
                <w:rFonts w:ascii="黑体" w:hAnsi="宋体" w:eastAsia="黑体" w:cs="宋体"/>
                <w:b/>
                <w:color w:val="auto"/>
                <w:kern w:val="0"/>
                <w:sz w:val="20"/>
                <w:szCs w:val="20"/>
              </w:rPr>
            </w:pPr>
            <w:r>
              <w:rPr>
                <w:rFonts w:hint="eastAsia" w:ascii="黑体" w:hAnsi="宋体" w:eastAsia="黑体" w:cs="宋体"/>
                <w:b/>
                <w:color w:val="auto"/>
                <w:kern w:val="0"/>
                <w:sz w:val="20"/>
                <w:szCs w:val="20"/>
              </w:rPr>
              <w:t xml:space="preserve">  月收入</w:t>
            </w:r>
          </w:p>
          <w:p>
            <w:pPr>
              <w:spacing w:line="300" w:lineRule="exact"/>
              <w:jc w:val="left"/>
              <w:rPr>
                <w:rFonts w:ascii="黑体" w:hAnsi="宋体" w:eastAsia="黑体" w:cs="宋体"/>
                <w:b/>
                <w:color w:val="auto"/>
                <w:kern w:val="0"/>
                <w:sz w:val="20"/>
                <w:szCs w:val="20"/>
              </w:rPr>
            </w:pPr>
            <w:r>
              <w:rPr>
                <w:rFonts w:hint="eastAsia" w:ascii="黑体" w:hAnsi="宋体" w:eastAsia="黑体" w:cs="宋体"/>
                <w:b/>
                <w:color w:val="auto"/>
                <w:kern w:val="0"/>
                <w:sz w:val="20"/>
                <w:szCs w:val="20"/>
              </w:rPr>
              <w:t>单位</w:t>
            </w:r>
          </w:p>
          <w:p>
            <w:pPr>
              <w:spacing w:line="300" w:lineRule="exact"/>
              <w:jc w:val="left"/>
              <w:rPr>
                <w:rFonts w:ascii="黑体" w:hAnsi="宋体" w:eastAsia="黑体" w:cs="宋体"/>
                <w:b/>
                <w:color w:val="auto"/>
                <w:kern w:val="0"/>
                <w:sz w:val="22"/>
              </w:rPr>
            </w:pPr>
            <w:r>
              <w:rPr>
                <w:rFonts w:hint="eastAsia" w:ascii="黑体" w:hAnsi="宋体" w:eastAsia="黑体" w:cs="宋体"/>
                <w:b/>
                <w:color w:val="auto"/>
                <w:kern w:val="0"/>
                <w:sz w:val="20"/>
                <w:szCs w:val="20"/>
              </w:rPr>
              <w:t xml:space="preserve">性质 </w:t>
            </w:r>
          </w:p>
        </w:tc>
        <w:tc>
          <w:tcPr>
            <w:tcW w:w="1604" w:type="dxa"/>
            <w:tcBorders>
              <w:top w:val="single" w:color="auto" w:sz="8" w:space="0"/>
              <w:left w:val="nil"/>
              <w:bottom w:val="single" w:color="auto" w:sz="8" w:space="0"/>
              <w:right w:val="single" w:color="auto" w:sz="8" w:space="0"/>
            </w:tcBorders>
            <w:shd w:val="clear" w:color="auto" w:fill="DBE5F1"/>
            <w:vAlign w:val="center"/>
          </w:tcPr>
          <w:p>
            <w:pPr>
              <w:widowControl/>
              <w:spacing w:line="360" w:lineRule="auto"/>
              <w:jc w:val="center"/>
              <w:rPr>
                <w:rFonts w:ascii="黑体" w:hAnsi="宋体" w:eastAsia="黑体" w:cs="宋体"/>
                <w:b/>
                <w:color w:val="auto"/>
                <w:kern w:val="0"/>
                <w:sz w:val="24"/>
              </w:rPr>
            </w:pPr>
            <w:r>
              <w:rPr>
                <w:rFonts w:hint="eastAsia" w:ascii="黑体" w:hAnsi="宋体" w:eastAsia="黑体" w:cs="宋体"/>
                <w:b/>
                <w:color w:val="auto"/>
                <w:kern w:val="0"/>
                <w:sz w:val="24"/>
              </w:rPr>
              <w:t>1500元以下</w:t>
            </w:r>
          </w:p>
        </w:tc>
        <w:tc>
          <w:tcPr>
            <w:tcW w:w="1596" w:type="dxa"/>
            <w:tcBorders>
              <w:top w:val="single" w:color="auto" w:sz="8" w:space="0"/>
              <w:left w:val="nil"/>
              <w:bottom w:val="single" w:color="auto" w:sz="8" w:space="0"/>
              <w:right w:val="single" w:color="auto" w:sz="8" w:space="0"/>
            </w:tcBorders>
            <w:shd w:val="clear" w:color="auto" w:fill="DBE5F1"/>
            <w:vAlign w:val="center"/>
          </w:tcPr>
          <w:p>
            <w:pPr>
              <w:widowControl/>
              <w:spacing w:line="360" w:lineRule="auto"/>
              <w:jc w:val="center"/>
              <w:rPr>
                <w:rFonts w:ascii="黑体" w:hAnsi="宋体" w:eastAsia="黑体" w:cs="宋体"/>
                <w:b/>
                <w:color w:val="auto"/>
                <w:kern w:val="0"/>
                <w:sz w:val="24"/>
              </w:rPr>
            </w:pPr>
            <w:r>
              <w:rPr>
                <w:rFonts w:hint="eastAsia" w:ascii="黑体" w:hAnsi="宋体" w:eastAsia="黑体" w:cs="宋体"/>
                <w:b/>
                <w:color w:val="auto"/>
                <w:kern w:val="0"/>
                <w:sz w:val="24"/>
              </w:rPr>
              <w:t>1500-3000元</w:t>
            </w:r>
          </w:p>
        </w:tc>
        <w:tc>
          <w:tcPr>
            <w:tcW w:w="1929" w:type="dxa"/>
            <w:tcBorders>
              <w:top w:val="single" w:color="auto" w:sz="8" w:space="0"/>
              <w:left w:val="nil"/>
              <w:bottom w:val="single" w:color="auto" w:sz="8" w:space="0"/>
              <w:right w:val="single" w:color="auto" w:sz="8" w:space="0"/>
            </w:tcBorders>
            <w:shd w:val="clear" w:color="auto" w:fill="DBE5F1"/>
            <w:vAlign w:val="center"/>
          </w:tcPr>
          <w:p>
            <w:pPr>
              <w:widowControl/>
              <w:spacing w:line="360" w:lineRule="auto"/>
              <w:jc w:val="center"/>
              <w:rPr>
                <w:rFonts w:ascii="黑体" w:hAnsi="宋体" w:eastAsia="黑体" w:cs="宋体"/>
                <w:b/>
                <w:color w:val="auto"/>
                <w:kern w:val="0"/>
                <w:sz w:val="24"/>
              </w:rPr>
            </w:pPr>
            <w:r>
              <w:rPr>
                <w:rFonts w:hint="eastAsia" w:ascii="黑体" w:hAnsi="宋体" w:eastAsia="黑体" w:cs="宋体"/>
                <w:b/>
                <w:color w:val="auto"/>
                <w:kern w:val="0"/>
                <w:sz w:val="24"/>
              </w:rPr>
              <w:t>3000-5000元</w:t>
            </w:r>
          </w:p>
        </w:tc>
        <w:tc>
          <w:tcPr>
            <w:tcW w:w="1782" w:type="dxa"/>
            <w:tcBorders>
              <w:top w:val="single" w:color="auto" w:sz="8" w:space="0"/>
              <w:left w:val="nil"/>
              <w:bottom w:val="single" w:color="auto" w:sz="8" w:space="0"/>
              <w:right w:val="single" w:color="auto" w:sz="8" w:space="0"/>
            </w:tcBorders>
            <w:shd w:val="clear" w:color="auto" w:fill="DBE5F1"/>
            <w:vAlign w:val="center"/>
          </w:tcPr>
          <w:p>
            <w:pPr>
              <w:widowControl/>
              <w:spacing w:line="360" w:lineRule="auto"/>
              <w:jc w:val="center"/>
              <w:rPr>
                <w:rFonts w:ascii="黑体" w:hAnsi="宋体" w:eastAsia="黑体" w:cs="宋体"/>
                <w:b/>
                <w:color w:val="auto"/>
                <w:kern w:val="0"/>
                <w:sz w:val="24"/>
              </w:rPr>
            </w:pPr>
            <w:r>
              <w:rPr>
                <w:rFonts w:hint="eastAsia" w:ascii="黑体" w:hAnsi="宋体" w:eastAsia="黑体" w:cs="宋体"/>
                <w:b/>
                <w:color w:val="auto"/>
                <w:kern w:val="0"/>
                <w:sz w:val="24"/>
              </w:rPr>
              <w:t>5000元以上</w:t>
            </w:r>
          </w:p>
        </w:tc>
      </w:tr>
      <w:tr>
        <w:tblPrEx>
          <w:tblLayout w:type="fixed"/>
          <w:tblCellMar>
            <w:top w:w="0" w:type="dxa"/>
            <w:left w:w="108" w:type="dxa"/>
            <w:bottom w:w="0" w:type="dxa"/>
            <w:right w:w="108" w:type="dxa"/>
          </w:tblCellMar>
        </w:tblPrEx>
        <w:trPr>
          <w:trHeight w:val="306" w:hRule="atLeast"/>
        </w:trPr>
        <w:tc>
          <w:tcPr>
            <w:tcW w:w="1832" w:type="dxa"/>
            <w:tcBorders>
              <w:top w:val="single" w:color="auto" w:sz="8" w:space="0"/>
              <w:left w:val="single" w:color="auto" w:sz="8" w:space="0"/>
              <w:bottom w:val="single" w:color="auto" w:sz="8" w:space="0"/>
              <w:right w:val="single" w:color="auto" w:sz="8" w:space="0"/>
            </w:tcBorders>
            <w:shd w:val="clear" w:color="auto" w:fill="DBE5F1"/>
            <w:vAlign w:val="center"/>
          </w:tcPr>
          <w:p>
            <w:pPr>
              <w:spacing w:line="360" w:lineRule="auto"/>
              <w:jc w:val="center"/>
              <w:rPr>
                <w:rFonts w:ascii="黑体" w:hAnsi="宋体" w:eastAsia="黑体" w:cs="宋体"/>
                <w:b/>
                <w:color w:val="auto"/>
                <w:kern w:val="0"/>
                <w:sz w:val="22"/>
              </w:rPr>
            </w:pPr>
            <w:r>
              <w:rPr>
                <w:rFonts w:hint="eastAsia" w:ascii="黑体" w:hAnsi="宋体" w:eastAsia="黑体" w:cs="宋体"/>
                <w:b/>
                <w:color w:val="auto"/>
                <w:kern w:val="0"/>
                <w:sz w:val="22"/>
              </w:rPr>
              <w:t>机关单位</w:t>
            </w:r>
          </w:p>
        </w:tc>
        <w:tc>
          <w:tcPr>
            <w:tcW w:w="1604"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1</w:t>
            </w:r>
          </w:p>
        </w:tc>
        <w:tc>
          <w:tcPr>
            <w:tcW w:w="1596"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lang w:val="en-US" w:eastAsia="zh-CN"/>
              </w:rPr>
              <w:t>3</w:t>
            </w:r>
          </w:p>
        </w:tc>
        <w:tc>
          <w:tcPr>
            <w:tcW w:w="1929"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c>
          <w:tcPr>
            <w:tcW w:w="1782"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r>
      <w:tr>
        <w:tblPrEx>
          <w:tblLayout w:type="fixed"/>
          <w:tblCellMar>
            <w:top w:w="0" w:type="dxa"/>
            <w:left w:w="108" w:type="dxa"/>
            <w:bottom w:w="0" w:type="dxa"/>
            <w:right w:w="108" w:type="dxa"/>
          </w:tblCellMar>
        </w:tblPrEx>
        <w:trPr>
          <w:trHeight w:val="306" w:hRule="atLeast"/>
        </w:trPr>
        <w:tc>
          <w:tcPr>
            <w:tcW w:w="1832" w:type="dxa"/>
            <w:tcBorders>
              <w:top w:val="single" w:color="auto" w:sz="8" w:space="0"/>
              <w:left w:val="single" w:color="auto" w:sz="8" w:space="0"/>
              <w:bottom w:val="single" w:color="auto" w:sz="8" w:space="0"/>
              <w:right w:val="single" w:color="auto" w:sz="8" w:space="0"/>
            </w:tcBorders>
            <w:shd w:val="clear" w:color="auto" w:fill="DBE5F1"/>
            <w:vAlign w:val="center"/>
          </w:tcPr>
          <w:p>
            <w:pPr>
              <w:spacing w:line="360" w:lineRule="auto"/>
              <w:jc w:val="center"/>
              <w:rPr>
                <w:rFonts w:ascii="黑体" w:hAnsi="宋体" w:eastAsia="黑体" w:cs="宋体"/>
                <w:b/>
                <w:color w:val="auto"/>
                <w:kern w:val="0"/>
                <w:sz w:val="22"/>
              </w:rPr>
            </w:pPr>
            <w:r>
              <w:rPr>
                <w:rFonts w:hint="eastAsia" w:ascii="黑体" w:hAnsi="宋体" w:eastAsia="黑体" w:cs="宋体"/>
                <w:b/>
                <w:color w:val="auto"/>
                <w:kern w:val="0"/>
                <w:sz w:val="22"/>
              </w:rPr>
              <w:t>事业单位</w:t>
            </w:r>
          </w:p>
        </w:tc>
        <w:tc>
          <w:tcPr>
            <w:tcW w:w="1604"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1</w:t>
            </w:r>
          </w:p>
        </w:tc>
        <w:tc>
          <w:tcPr>
            <w:tcW w:w="1596"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2</w:t>
            </w:r>
          </w:p>
        </w:tc>
        <w:tc>
          <w:tcPr>
            <w:tcW w:w="1929"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c>
          <w:tcPr>
            <w:tcW w:w="1782"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r>
      <w:tr>
        <w:tblPrEx>
          <w:tblLayout w:type="fixed"/>
          <w:tblCellMar>
            <w:top w:w="0" w:type="dxa"/>
            <w:left w:w="108" w:type="dxa"/>
            <w:bottom w:w="0" w:type="dxa"/>
            <w:right w:w="108" w:type="dxa"/>
          </w:tblCellMar>
        </w:tblPrEx>
        <w:trPr>
          <w:trHeight w:val="306" w:hRule="atLeast"/>
        </w:trPr>
        <w:tc>
          <w:tcPr>
            <w:tcW w:w="1832" w:type="dxa"/>
            <w:tcBorders>
              <w:top w:val="single" w:color="auto" w:sz="8" w:space="0"/>
              <w:left w:val="single" w:color="auto" w:sz="8" w:space="0"/>
              <w:bottom w:val="single" w:color="auto" w:sz="8" w:space="0"/>
              <w:right w:val="single" w:color="auto" w:sz="8" w:space="0"/>
            </w:tcBorders>
            <w:shd w:val="clear" w:color="auto" w:fill="DBE5F1"/>
            <w:vAlign w:val="center"/>
          </w:tcPr>
          <w:p>
            <w:pPr>
              <w:spacing w:line="360" w:lineRule="auto"/>
              <w:jc w:val="center"/>
              <w:rPr>
                <w:rFonts w:ascii="黑体" w:hAnsi="宋体" w:eastAsia="黑体" w:cs="宋体"/>
                <w:b/>
                <w:color w:val="auto"/>
                <w:kern w:val="0"/>
                <w:sz w:val="22"/>
              </w:rPr>
            </w:pPr>
            <w:r>
              <w:rPr>
                <w:rFonts w:hint="eastAsia" w:ascii="黑体" w:hAnsi="宋体" w:eastAsia="黑体" w:cs="宋体"/>
                <w:b/>
                <w:color w:val="auto"/>
                <w:kern w:val="0"/>
                <w:sz w:val="22"/>
              </w:rPr>
              <w:t>企业单位</w:t>
            </w:r>
          </w:p>
        </w:tc>
        <w:tc>
          <w:tcPr>
            <w:tcW w:w="1604"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c>
          <w:tcPr>
            <w:tcW w:w="1596"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3</w:t>
            </w:r>
          </w:p>
        </w:tc>
        <w:tc>
          <w:tcPr>
            <w:tcW w:w="1929"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lang w:val="en-US" w:eastAsia="zh-CN"/>
              </w:rPr>
              <w:t>72</w:t>
            </w:r>
          </w:p>
        </w:tc>
        <w:tc>
          <w:tcPr>
            <w:tcW w:w="1782"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lang w:val="en-US" w:eastAsia="zh-CN"/>
              </w:rPr>
              <w:t>23</w:t>
            </w:r>
          </w:p>
        </w:tc>
      </w:tr>
      <w:tr>
        <w:tblPrEx>
          <w:tblLayout w:type="fixed"/>
          <w:tblCellMar>
            <w:top w:w="0" w:type="dxa"/>
            <w:left w:w="108" w:type="dxa"/>
            <w:bottom w:w="0" w:type="dxa"/>
            <w:right w:w="108" w:type="dxa"/>
          </w:tblCellMar>
        </w:tblPrEx>
        <w:trPr>
          <w:trHeight w:val="308" w:hRule="atLeast"/>
        </w:trPr>
        <w:tc>
          <w:tcPr>
            <w:tcW w:w="1832" w:type="dxa"/>
            <w:tcBorders>
              <w:top w:val="single" w:color="auto" w:sz="8" w:space="0"/>
              <w:left w:val="single" w:color="auto" w:sz="8" w:space="0"/>
              <w:bottom w:val="single" w:color="auto" w:sz="8" w:space="0"/>
              <w:right w:val="single" w:color="auto" w:sz="8" w:space="0"/>
            </w:tcBorders>
            <w:shd w:val="clear" w:color="auto" w:fill="DBE5F1"/>
            <w:vAlign w:val="center"/>
          </w:tcPr>
          <w:p>
            <w:pPr>
              <w:spacing w:line="360" w:lineRule="auto"/>
              <w:jc w:val="center"/>
              <w:rPr>
                <w:rFonts w:ascii="黑体" w:hAnsi="宋体" w:eastAsia="黑体" w:cs="宋体"/>
                <w:b/>
                <w:color w:val="auto"/>
                <w:kern w:val="0"/>
                <w:sz w:val="22"/>
              </w:rPr>
            </w:pPr>
            <w:r>
              <w:rPr>
                <w:rFonts w:hint="eastAsia" w:ascii="黑体" w:hAnsi="宋体" w:eastAsia="黑体" w:cs="宋体"/>
                <w:b/>
                <w:color w:val="auto"/>
                <w:kern w:val="0"/>
                <w:sz w:val="22"/>
              </w:rPr>
              <w:t>项目类</w:t>
            </w:r>
          </w:p>
        </w:tc>
        <w:tc>
          <w:tcPr>
            <w:tcW w:w="1604"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c>
          <w:tcPr>
            <w:tcW w:w="1596"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1</w:t>
            </w:r>
          </w:p>
        </w:tc>
        <w:tc>
          <w:tcPr>
            <w:tcW w:w="1929"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c>
          <w:tcPr>
            <w:tcW w:w="1782"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r>
      <w:tr>
        <w:tblPrEx>
          <w:tblLayout w:type="fixed"/>
          <w:tblCellMar>
            <w:top w:w="0" w:type="dxa"/>
            <w:left w:w="108" w:type="dxa"/>
            <w:bottom w:w="0" w:type="dxa"/>
            <w:right w:w="108" w:type="dxa"/>
          </w:tblCellMar>
        </w:tblPrEx>
        <w:trPr>
          <w:trHeight w:val="308" w:hRule="atLeast"/>
        </w:trPr>
        <w:tc>
          <w:tcPr>
            <w:tcW w:w="1832" w:type="dxa"/>
            <w:tcBorders>
              <w:top w:val="single" w:color="auto" w:sz="8" w:space="0"/>
              <w:left w:val="single" w:color="auto" w:sz="8" w:space="0"/>
              <w:bottom w:val="single" w:color="auto" w:sz="8" w:space="0"/>
              <w:right w:val="single" w:color="auto" w:sz="8" w:space="0"/>
            </w:tcBorders>
            <w:shd w:val="clear" w:color="auto" w:fill="DBE5F1"/>
            <w:vAlign w:val="center"/>
          </w:tcPr>
          <w:p>
            <w:pPr>
              <w:spacing w:line="360" w:lineRule="auto"/>
              <w:jc w:val="center"/>
              <w:rPr>
                <w:rFonts w:ascii="黑体" w:hAnsi="宋体" w:eastAsia="黑体" w:cs="宋体"/>
                <w:b/>
                <w:color w:val="auto"/>
                <w:kern w:val="0"/>
                <w:sz w:val="22"/>
              </w:rPr>
            </w:pPr>
            <w:r>
              <w:rPr>
                <w:rFonts w:hint="eastAsia" w:ascii="黑体" w:hAnsi="宋体" w:eastAsia="黑体" w:cs="宋体"/>
                <w:b/>
                <w:color w:val="auto"/>
                <w:kern w:val="0"/>
                <w:sz w:val="22"/>
              </w:rPr>
              <w:t>继续深造或出国</w:t>
            </w:r>
          </w:p>
        </w:tc>
        <w:tc>
          <w:tcPr>
            <w:tcW w:w="1604"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lang w:val="en-US" w:eastAsia="zh-CN"/>
              </w:rPr>
              <w:t>2</w:t>
            </w:r>
          </w:p>
        </w:tc>
        <w:tc>
          <w:tcPr>
            <w:tcW w:w="1596"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lang w:val="en-US" w:eastAsia="zh-CN"/>
              </w:rPr>
              <w:t>2</w:t>
            </w:r>
          </w:p>
        </w:tc>
        <w:tc>
          <w:tcPr>
            <w:tcW w:w="1929"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lang w:val="en-US" w:eastAsia="zh-CN"/>
              </w:rPr>
              <w:t>1</w:t>
            </w:r>
          </w:p>
        </w:tc>
        <w:tc>
          <w:tcPr>
            <w:tcW w:w="1782" w:type="dxa"/>
            <w:tcBorders>
              <w:top w:val="single" w:color="auto" w:sz="8" w:space="0"/>
              <w:left w:val="nil"/>
              <w:bottom w:val="single" w:color="auto" w:sz="8" w:space="0"/>
              <w:right w:val="single" w:color="auto" w:sz="8" w:space="0"/>
            </w:tcBorders>
            <w:shd w:val="clear" w:color="auto" w:fill="EAF1DD"/>
            <w:vAlign w:val="center"/>
          </w:tcPr>
          <w:p>
            <w:pPr>
              <w:spacing w:line="360" w:lineRule="auto"/>
              <w:jc w:val="center"/>
              <w:rPr>
                <w:rFonts w:ascii="黑体" w:hAnsi="宋体" w:eastAsia="黑体" w:cs="宋体"/>
                <w:color w:val="auto"/>
                <w:kern w:val="0"/>
                <w:sz w:val="22"/>
              </w:rPr>
            </w:pPr>
            <w:r>
              <w:rPr>
                <w:rFonts w:hint="eastAsia" w:ascii="黑体" w:hAnsi="宋体" w:eastAsia="黑体" w:cs="宋体"/>
                <w:color w:val="auto"/>
                <w:kern w:val="0"/>
                <w:sz w:val="22"/>
              </w:rPr>
              <w:t>-</w:t>
            </w:r>
          </w:p>
        </w:tc>
      </w:tr>
    </w:tbl>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lang w:val="en-US" w:eastAsia="zh-CN"/>
        </w:rPr>
      </w:pPr>
      <w:bookmarkStart w:id="96" w:name="_Toc15680"/>
      <w:bookmarkStart w:id="97" w:name="_Toc1155"/>
      <w:bookmarkStart w:id="98" w:name="_Toc16435"/>
      <w:r>
        <w:rPr>
          <w:rFonts w:hint="eastAsia"/>
          <w:lang w:val="en-US" w:eastAsia="zh-CN"/>
        </w:rPr>
        <w:t>3、</w:t>
      </w:r>
      <w:bookmarkEnd w:id="96"/>
      <w:bookmarkEnd w:id="97"/>
      <w:bookmarkEnd w:id="98"/>
      <w:r>
        <w:rPr>
          <w:rFonts w:hint="eastAsia"/>
          <w:lang w:val="en-US" w:eastAsia="zh-CN"/>
        </w:rPr>
        <w:t>毕业生对目前工作的评价</w:t>
      </w:r>
    </w:p>
    <w:p>
      <w:pPr>
        <w:pStyle w:val="23"/>
        <w:spacing w:line="360" w:lineRule="auto"/>
        <w:ind w:firstLine="640"/>
        <w:rPr>
          <w:rFonts w:ascii="仿宋_GB2312" w:hAnsi="微软雅黑" w:eastAsia="仿宋_GB2312"/>
          <w:bCs/>
          <w:color w:val="auto"/>
          <w:sz w:val="32"/>
          <w:szCs w:val="32"/>
        </w:rPr>
      </w:pPr>
      <w:r>
        <w:rPr>
          <w:rFonts w:hint="eastAsia" w:ascii="仿宋_GB2312" w:hAnsi="微软雅黑" w:eastAsia="仿宋_GB2312"/>
          <w:bCs/>
          <w:color w:val="auto"/>
          <w:sz w:val="32"/>
          <w:szCs w:val="32"/>
        </w:rPr>
        <w:t>抽样调查的毕业生1</w:t>
      </w:r>
      <w:r>
        <w:rPr>
          <w:rFonts w:hint="eastAsia" w:ascii="仿宋_GB2312" w:hAnsi="微软雅黑" w:eastAsia="仿宋_GB2312"/>
          <w:bCs/>
          <w:color w:val="auto"/>
          <w:sz w:val="32"/>
          <w:szCs w:val="32"/>
          <w:lang w:val="en-US" w:eastAsia="zh-CN"/>
        </w:rPr>
        <w:t>11</w:t>
      </w:r>
      <w:r>
        <w:rPr>
          <w:rFonts w:hint="eastAsia" w:ascii="仿宋_GB2312" w:hAnsi="微软雅黑" w:eastAsia="仿宋_GB2312"/>
          <w:bCs/>
          <w:color w:val="auto"/>
          <w:sz w:val="32"/>
          <w:szCs w:val="32"/>
        </w:rPr>
        <w:t>人中，对目前工作“很满意”的占</w:t>
      </w:r>
      <w:r>
        <w:rPr>
          <w:rFonts w:hint="eastAsia" w:ascii="仿宋_GB2312" w:hAnsi="微软雅黑" w:eastAsia="仿宋_GB2312"/>
          <w:bCs/>
          <w:color w:val="auto"/>
          <w:sz w:val="32"/>
          <w:szCs w:val="32"/>
          <w:lang w:val="en-US" w:eastAsia="zh-CN"/>
        </w:rPr>
        <w:t>38.74</w:t>
      </w:r>
      <w:r>
        <w:rPr>
          <w:rFonts w:hint="eastAsia" w:ascii="仿宋_GB2312" w:hAnsi="微软雅黑" w:eastAsia="仿宋_GB2312"/>
          <w:bCs/>
          <w:color w:val="auto"/>
          <w:sz w:val="32"/>
          <w:szCs w:val="32"/>
        </w:rPr>
        <w:t>%，“比较满意”的占50.4</w:t>
      </w:r>
      <w:r>
        <w:rPr>
          <w:rFonts w:hint="eastAsia" w:ascii="仿宋_GB2312" w:hAnsi="微软雅黑" w:eastAsia="仿宋_GB2312"/>
          <w:bCs/>
          <w:color w:val="auto"/>
          <w:sz w:val="32"/>
          <w:szCs w:val="32"/>
          <w:lang w:val="en-US" w:eastAsia="zh-CN"/>
        </w:rPr>
        <w:t>5</w:t>
      </w:r>
      <w:r>
        <w:rPr>
          <w:rFonts w:hint="eastAsia" w:ascii="仿宋_GB2312" w:hAnsi="微软雅黑" w:eastAsia="仿宋_GB2312"/>
          <w:bCs/>
          <w:color w:val="auto"/>
          <w:sz w:val="32"/>
          <w:szCs w:val="32"/>
        </w:rPr>
        <w:t>%，“不满意”的占</w:t>
      </w:r>
      <w:r>
        <w:rPr>
          <w:rFonts w:hint="eastAsia" w:ascii="仿宋_GB2312" w:hAnsi="微软雅黑" w:eastAsia="仿宋_GB2312"/>
          <w:bCs/>
          <w:color w:val="auto"/>
          <w:sz w:val="32"/>
          <w:szCs w:val="32"/>
          <w:lang w:val="en-US" w:eastAsia="zh-CN"/>
        </w:rPr>
        <w:t>10.81</w:t>
      </w:r>
      <w:r>
        <w:rPr>
          <w:rFonts w:hint="eastAsia" w:ascii="仿宋_GB2312" w:hAnsi="微软雅黑" w:eastAsia="仿宋_GB2312"/>
          <w:bCs/>
          <w:color w:val="auto"/>
          <w:sz w:val="32"/>
          <w:szCs w:val="32"/>
        </w:rPr>
        <w:t>%，详见图2.2.3。</w:t>
      </w:r>
    </w:p>
    <w:p>
      <w:pPr>
        <w:pStyle w:val="23"/>
        <w:spacing w:line="360" w:lineRule="auto"/>
        <w:ind w:firstLine="0" w:firstLineChars="0"/>
        <w:jc w:val="center"/>
        <w:rPr>
          <w:rFonts w:ascii="仿宋_GB2312" w:hAnsi="微软雅黑" w:eastAsia="仿宋_GB2312"/>
          <w:bCs/>
          <w:color w:val="auto"/>
          <w:sz w:val="22"/>
          <w:szCs w:val="22"/>
        </w:rPr>
      </w:pPr>
      <w:r>
        <w:rPr>
          <w:rFonts w:hint="eastAsia" w:ascii="仿宋_GB2312" w:hAnsi="微软雅黑" w:eastAsia="仿宋_GB2312"/>
          <w:b/>
          <w:color w:val="auto"/>
          <w:sz w:val="22"/>
          <w:szCs w:val="22"/>
        </w:rPr>
        <w:t>图2.2.3 吉首大学信息科学与工程学院201</w:t>
      </w:r>
      <w:r>
        <w:rPr>
          <w:rFonts w:hint="eastAsia" w:ascii="仿宋_GB2312" w:hAnsi="微软雅黑" w:eastAsia="仿宋_GB2312"/>
          <w:b/>
          <w:color w:val="auto"/>
          <w:sz w:val="22"/>
          <w:szCs w:val="22"/>
          <w:lang w:val="en-US" w:eastAsia="zh-CN"/>
        </w:rPr>
        <w:t>7</w:t>
      </w:r>
      <w:r>
        <w:rPr>
          <w:rFonts w:hint="eastAsia" w:ascii="仿宋_GB2312" w:hAnsi="微软雅黑" w:eastAsia="仿宋_GB2312"/>
          <w:b/>
          <w:color w:val="auto"/>
          <w:sz w:val="22"/>
          <w:szCs w:val="22"/>
        </w:rPr>
        <w:t>届毕业生对目前工作的满意度</w:t>
      </w:r>
    </w:p>
    <w:p>
      <w:pPr>
        <w:spacing w:line="360" w:lineRule="auto"/>
        <w:jc w:val="center"/>
        <w:rPr>
          <w:rFonts w:ascii="仿宋_GB2312" w:hAnsi="宋体" w:eastAsia="仿宋_GB2312" w:cs="宋体"/>
          <w:color w:val="auto"/>
          <w:sz w:val="28"/>
          <w:szCs w:val="28"/>
        </w:rPr>
      </w:pPr>
      <w:r>
        <w:rPr>
          <w:rFonts w:hint="eastAsia" w:ascii="仿宋_GB2312" w:hAnsi="宋体" w:eastAsia="仿宋_GB2312" w:cs="宋体"/>
          <w:color w:val="auto"/>
          <w:sz w:val="28"/>
          <w:szCs w:val="28"/>
        </w:rPr>
        <w:drawing>
          <wp:inline distT="0" distB="0" distL="114300" distR="114300">
            <wp:extent cx="5335270" cy="2317750"/>
            <wp:effectExtent l="4445" t="4445" r="13335" b="2095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lang w:val="en-US" w:eastAsia="zh-CN"/>
        </w:rPr>
      </w:pPr>
      <w:bookmarkStart w:id="99" w:name="_Toc3477"/>
      <w:bookmarkStart w:id="100" w:name="_Toc21521"/>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lang w:val="en-US" w:eastAsia="zh-CN"/>
        </w:rPr>
      </w:pPr>
      <w:bookmarkStart w:id="101" w:name="_Toc24513"/>
      <w:r>
        <w:rPr>
          <w:rFonts w:hint="eastAsia"/>
          <w:lang w:val="en-US" w:eastAsia="zh-CN"/>
        </w:rPr>
        <w:t>4、毕业生对学校就业工作的评价</w:t>
      </w:r>
      <w:bookmarkEnd w:id="99"/>
      <w:bookmarkEnd w:id="100"/>
      <w:bookmarkEnd w:id="101"/>
    </w:p>
    <w:p>
      <w:pPr>
        <w:pStyle w:val="23"/>
        <w:spacing w:line="360" w:lineRule="auto"/>
        <w:ind w:firstLine="640"/>
        <w:rPr>
          <w:rFonts w:ascii="仿宋_GB2312" w:hAnsi="宋体" w:eastAsia="仿宋_GB2312"/>
          <w:color w:val="auto"/>
          <w:sz w:val="32"/>
          <w:szCs w:val="32"/>
        </w:rPr>
      </w:pPr>
      <w:r>
        <w:rPr>
          <w:rFonts w:hint="eastAsia" w:ascii="仿宋_GB2312" w:hAnsi="宋体" w:eastAsia="仿宋_GB2312"/>
          <w:color w:val="auto"/>
          <w:sz w:val="32"/>
          <w:szCs w:val="32"/>
        </w:rPr>
        <w:t>抽样调查的毕业生对我校毕业生就业工作的评价总体较好，“很满意”的</w:t>
      </w:r>
      <w:r>
        <w:rPr>
          <w:rFonts w:hint="eastAsia" w:ascii="仿宋_GB2312" w:hAnsi="宋体" w:eastAsia="仿宋_GB2312"/>
          <w:color w:val="auto"/>
          <w:sz w:val="32"/>
          <w:szCs w:val="32"/>
          <w:lang w:val="en-US" w:eastAsia="zh-CN"/>
        </w:rPr>
        <w:t>31</w:t>
      </w:r>
      <w:r>
        <w:rPr>
          <w:rFonts w:hint="eastAsia" w:ascii="仿宋_GB2312" w:hAnsi="宋体" w:eastAsia="仿宋_GB2312"/>
          <w:color w:val="auto"/>
          <w:sz w:val="32"/>
          <w:szCs w:val="32"/>
        </w:rPr>
        <w:t>人，占</w:t>
      </w:r>
      <w:r>
        <w:rPr>
          <w:rFonts w:hint="eastAsia" w:ascii="仿宋_GB2312" w:hAnsi="宋体" w:eastAsia="仿宋_GB2312"/>
          <w:color w:val="auto"/>
          <w:sz w:val="32"/>
          <w:szCs w:val="32"/>
          <w:lang w:val="en-US" w:eastAsia="zh-CN"/>
        </w:rPr>
        <w:t>27.92</w:t>
      </w:r>
      <w:r>
        <w:rPr>
          <w:rFonts w:hint="eastAsia" w:ascii="仿宋_GB2312" w:hAnsi="宋体" w:eastAsia="仿宋_GB2312"/>
          <w:color w:val="auto"/>
          <w:sz w:val="32"/>
          <w:szCs w:val="32"/>
        </w:rPr>
        <w:t>%，“满意”的</w:t>
      </w:r>
      <w:r>
        <w:rPr>
          <w:rFonts w:hint="eastAsia" w:ascii="仿宋_GB2312" w:hAnsi="宋体" w:eastAsia="仿宋_GB2312"/>
          <w:color w:val="auto"/>
          <w:sz w:val="32"/>
          <w:szCs w:val="32"/>
          <w:lang w:val="en-US" w:eastAsia="zh-CN"/>
        </w:rPr>
        <w:t>65</w:t>
      </w:r>
      <w:r>
        <w:rPr>
          <w:rFonts w:hint="eastAsia" w:ascii="仿宋_GB2312" w:hAnsi="宋体" w:eastAsia="仿宋_GB2312"/>
          <w:color w:val="auto"/>
          <w:sz w:val="32"/>
          <w:szCs w:val="32"/>
        </w:rPr>
        <w:t>人，占</w:t>
      </w:r>
      <w:r>
        <w:rPr>
          <w:rFonts w:hint="eastAsia" w:ascii="仿宋_GB2312" w:hAnsi="宋体" w:eastAsia="仿宋_GB2312"/>
          <w:color w:val="auto"/>
          <w:sz w:val="32"/>
          <w:szCs w:val="32"/>
          <w:lang w:val="en-US" w:eastAsia="zh-CN"/>
        </w:rPr>
        <w:t>58.57</w:t>
      </w:r>
      <w:r>
        <w:rPr>
          <w:rFonts w:hint="eastAsia" w:ascii="仿宋_GB2312" w:hAnsi="宋体" w:eastAsia="仿宋_GB2312"/>
          <w:color w:val="auto"/>
          <w:sz w:val="32"/>
          <w:szCs w:val="32"/>
        </w:rPr>
        <w:t>%，总体满意率为8</w:t>
      </w:r>
      <w:r>
        <w:rPr>
          <w:rFonts w:hint="eastAsia" w:ascii="仿宋_GB2312" w:hAnsi="宋体" w:eastAsia="仿宋_GB2312"/>
          <w:color w:val="auto"/>
          <w:sz w:val="32"/>
          <w:szCs w:val="32"/>
          <w:lang w:val="en-US" w:eastAsia="zh-CN"/>
        </w:rPr>
        <w:t>6.49</w:t>
      </w:r>
      <w:r>
        <w:rPr>
          <w:rFonts w:hint="eastAsia" w:ascii="仿宋_GB2312" w:hAnsi="宋体" w:eastAsia="仿宋_GB2312"/>
          <w:color w:val="auto"/>
          <w:sz w:val="32"/>
          <w:szCs w:val="32"/>
        </w:rPr>
        <w:t>%。</w:t>
      </w:r>
    </w:p>
    <w:p>
      <w:pPr>
        <w:pStyle w:val="23"/>
        <w:spacing w:line="360" w:lineRule="auto"/>
        <w:ind w:firstLine="0" w:firstLineChars="0"/>
        <w:jc w:val="center"/>
        <w:rPr>
          <w:rFonts w:hint="eastAsia" w:ascii="仿宋_GB2312" w:hAnsi="微软雅黑" w:eastAsia="仿宋_GB2312"/>
          <w:b/>
          <w:color w:val="auto"/>
          <w:sz w:val="22"/>
          <w:szCs w:val="22"/>
        </w:rPr>
      </w:pPr>
      <w:r>
        <w:rPr>
          <w:rFonts w:hint="eastAsia" w:ascii="仿宋_GB2312" w:hAnsi="微软雅黑" w:eastAsia="仿宋_GB2312"/>
          <w:b/>
          <w:color w:val="auto"/>
          <w:sz w:val="22"/>
          <w:szCs w:val="22"/>
        </w:rPr>
        <w:t>图2.2.4  吉首大学信息科学与工程学院201</w:t>
      </w:r>
      <w:r>
        <w:rPr>
          <w:rFonts w:hint="eastAsia" w:ascii="仿宋_GB2312" w:hAnsi="微软雅黑" w:eastAsia="仿宋_GB2312"/>
          <w:b/>
          <w:color w:val="auto"/>
          <w:sz w:val="22"/>
          <w:szCs w:val="22"/>
          <w:lang w:val="en-US" w:eastAsia="zh-CN"/>
        </w:rPr>
        <w:t>7</w:t>
      </w:r>
      <w:r>
        <w:rPr>
          <w:rFonts w:hint="eastAsia" w:ascii="仿宋_GB2312" w:hAnsi="微软雅黑" w:eastAsia="仿宋_GB2312"/>
          <w:b/>
          <w:color w:val="auto"/>
          <w:sz w:val="22"/>
          <w:szCs w:val="22"/>
        </w:rPr>
        <w:t>届毕业生对学校就业工作的满意度</w:t>
      </w:r>
    </w:p>
    <w:p>
      <w:pPr>
        <w:pStyle w:val="23"/>
        <w:spacing w:line="360" w:lineRule="auto"/>
        <w:ind w:firstLine="0" w:firstLineChars="0"/>
        <w:jc w:val="center"/>
        <w:rPr>
          <w:rFonts w:ascii="仿宋_GB2312" w:hAnsi="微软雅黑" w:eastAsia="仿宋_GB2312" w:cs="仿宋_GB2312"/>
          <w:color w:val="000000"/>
          <w:kern w:val="2"/>
          <w:sz w:val="32"/>
          <w:szCs w:val="32"/>
          <w:lang w:bidi="ar"/>
        </w:rPr>
      </w:pPr>
      <w:r>
        <w:rPr>
          <w:rFonts w:hint="eastAsia" w:hAnsi="宋体" w:cs="宋体"/>
          <w:color w:val="auto"/>
          <w:sz w:val="28"/>
          <w:szCs w:val="28"/>
        </w:rPr>
        <w:drawing>
          <wp:inline distT="0" distB="0" distL="114300" distR="114300">
            <wp:extent cx="4833620" cy="1757680"/>
            <wp:effectExtent l="4445" t="4445" r="19685" b="952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pPr>
      <w:bookmarkStart w:id="102" w:name="_Toc9325"/>
      <w:bookmarkStart w:id="103" w:name="_Toc4531"/>
      <w:bookmarkStart w:id="104" w:name="_Toc19895"/>
      <w:r>
        <w:rPr>
          <w:rFonts w:hint="eastAsia"/>
          <w:lang w:eastAsia="zh-CN"/>
        </w:rPr>
        <w:t>三、</w:t>
      </w:r>
      <w:r>
        <w:rPr>
          <w:rFonts w:hint="eastAsia"/>
        </w:rPr>
        <w:t>毕业生就业趋势变化</w:t>
      </w:r>
      <w:bookmarkEnd w:id="102"/>
      <w:bookmarkEnd w:id="103"/>
      <w:bookmarkEnd w:id="104"/>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rPr>
      </w:pPr>
      <w:bookmarkStart w:id="105" w:name="_Toc30696"/>
      <w:bookmarkStart w:id="106" w:name="_Toc13804"/>
      <w:bookmarkStart w:id="107" w:name="_Toc1968"/>
      <w:r>
        <w:rPr>
          <w:rFonts w:hint="eastAsia"/>
        </w:rPr>
        <w:t>（一）毕业生就业单位性质对比分析</w:t>
      </w:r>
      <w:bookmarkEnd w:id="105"/>
      <w:bookmarkEnd w:id="106"/>
      <w:bookmarkEnd w:id="107"/>
    </w:p>
    <w:p>
      <w:pPr>
        <w:pStyle w:val="24"/>
        <w:spacing w:line="360" w:lineRule="auto"/>
        <w:ind w:firstLine="640"/>
        <w:rPr>
          <w:rFonts w:hint="eastAsia" w:ascii="仿宋_GB2312" w:hAnsi="微软雅黑" w:eastAsia="仿宋_GB2312"/>
          <w:b/>
          <w:color w:val="000000"/>
          <w:sz w:val="28"/>
          <w:szCs w:val="28"/>
        </w:rPr>
      </w:pPr>
      <w:r>
        <w:rPr>
          <w:rFonts w:hint="eastAsia" w:ascii="仿宋_GB2312" w:eastAsia="仿宋_GB2312"/>
          <w:color w:val="auto"/>
          <w:sz w:val="32"/>
          <w:szCs w:val="32"/>
        </w:rPr>
        <w:t>我</w:t>
      </w:r>
      <w:r>
        <w:rPr>
          <w:rFonts w:hint="eastAsia" w:ascii="仿宋_GB2312" w:eastAsia="仿宋_GB2312"/>
          <w:color w:val="auto"/>
          <w:sz w:val="32"/>
          <w:szCs w:val="32"/>
          <w:lang w:eastAsia="zh-CN"/>
        </w:rPr>
        <w:t>院</w:t>
      </w:r>
      <w:r>
        <w:rPr>
          <w:rFonts w:hint="eastAsia" w:ascii="仿宋_GB2312" w:eastAsia="仿宋_GB2312"/>
          <w:color w:val="auto"/>
          <w:sz w:val="32"/>
          <w:szCs w:val="32"/>
        </w:rPr>
        <w:t>本专科就业单位类别较201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届比例增加的有：</w:t>
      </w:r>
      <w:r>
        <w:rPr>
          <w:rFonts w:hint="eastAsia" w:ascii="仿宋_GB2312" w:eastAsia="仿宋_GB2312"/>
          <w:color w:val="auto"/>
          <w:sz w:val="32"/>
          <w:szCs w:val="32"/>
          <w:lang w:eastAsia="zh-CN"/>
        </w:rPr>
        <w:t>机关</w:t>
      </w:r>
      <w:r>
        <w:rPr>
          <w:rFonts w:hint="eastAsia" w:ascii="仿宋_GB2312" w:eastAsia="仿宋_GB2312"/>
          <w:color w:val="auto"/>
          <w:sz w:val="32"/>
          <w:szCs w:val="32"/>
        </w:rPr>
        <w:t>、其他</w:t>
      </w:r>
      <w:r>
        <w:rPr>
          <w:rFonts w:hint="eastAsia" w:ascii="仿宋_GB2312" w:eastAsia="仿宋_GB2312"/>
          <w:color w:val="auto"/>
          <w:sz w:val="32"/>
          <w:szCs w:val="32"/>
          <w:lang w:eastAsia="zh-CN"/>
        </w:rPr>
        <w:t>教学</w:t>
      </w:r>
      <w:r>
        <w:rPr>
          <w:rFonts w:hint="eastAsia" w:ascii="仿宋_GB2312" w:eastAsia="仿宋_GB2312"/>
          <w:color w:val="auto"/>
          <w:sz w:val="32"/>
          <w:szCs w:val="32"/>
        </w:rPr>
        <w:t>单位、</w:t>
      </w:r>
      <w:r>
        <w:rPr>
          <w:rFonts w:hint="eastAsia" w:ascii="仿宋_GB2312" w:eastAsia="仿宋_GB2312"/>
          <w:color w:val="auto"/>
          <w:sz w:val="32"/>
          <w:szCs w:val="32"/>
          <w:lang w:eastAsia="zh-CN"/>
        </w:rPr>
        <w:t>国有</w:t>
      </w:r>
      <w:r>
        <w:rPr>
          <w:rFonts w:hint="eastAsia" w:ascii="仿宋_GB2312" w:eastAsia="仿宋_GB2312"/>
          <w:color w:val="auto"/>
          <w:sz w:val="32"/>
          <w:szCs w:val="32"/>
        </w:rPr>
        <w:t>企业、</w:t>
      </w:r>
      <w:r>
        <w:rPr>
          <w:rFonts w:hint="eastAsia" w:ascii="仿宋_GB2312" w:eastAsia="仿宋_GB2312"/>
          <w:color w:val="auto"/>
          <w:sz w:val="32"/>
          <w:szCs w:val="32"/>
          <w:lang w:eastAsia="zh-CN"/>
        </w:rPr>
        <w:t>升学、部队、医疗卫生单位</w:t>
      </w:r>
      <w:r>
        <w:rPr>
          <w:rFonts w:hint="eastAsia" w:ascii="仿宋_GB2312" w:eastAsia="仿宋_GB2312"/>
          <w:color w:val="000000"/>
          <w:sz w:val="32"/>
          <w:szCs w:val="32"/>
        </w:rPr>
        <w:t>等。</w:t>
      </w:r>
      <w:r>
        <w:rPr>
          <w:rFonts w:hint="eastAsia" w:ascii="仿宋_GB2312" w:hAnsi="微软雅黑" w:eastAsia="仿宋_GB2312"/>
          <w:bCs/>
          <w:color w:val="000000"/>
          <w:sz w:val="32"/>
          <w:szCs w:val="32"/>
        </w:rPr>
        <w:t>详见表3.1。</w:t>
      </w:r>
    </w:p>
    <w:p>
      <w:pPr>
        <w:pStyle w:val="23"/>
        <w:spacing w:line="360" w:lineRule="auto"/>
        <w:ind w:firstLine="0" w:firstLineChars="0"/>
        <w:jc w:val="center"/>
        <w:rPr>
          <w:rFonts w:ascii="仿宋_GB2312" w:hAnsi="微软雅黑" w:eastAsia="仿宋_GB2312"/>
          <w:b/>
          <w:color w:val="000000"/>
          <w:sz w:val="24"/>
          <w:szCs w:val="24"/>
        </w:rPr>
      </w:pPr>
      <w:r>
        <w:rPr>
          <w:rFonts w:hint="eastAsia" w:ascii="仿宋_GB2312" w:hAnsi="微软雅黑" w:eastAsia="仿宋_GB2312"/>
          <w:b/>
          <w:color w:val="000000"/>
          <w:sz w:val="24"/>
          <w:szCs w:val="24"/>
          <w:lang w:val="en-US" w:eastAsia="zh-CN"/>
        </w:rPr>
        <w:t xml:space="preserve"> </w:t>
      </w:r>
      <w:r>
        <w:rPr>
          <w:rFonts w:hint="eastAsia" w:ascii="仿宋_GB2312" w:hAnsi="微软雅黑" w:eastAsia="仿宋_GB2312"/>
          <w:b/>
          <w:color w:val="000000"/>
          <w:sz w:val="24"/>
          <w:szCs w:val="24"/>
        </w:rPr>
        <w:t>表3.1 吉首大学</w:t>
      </w:r>
      <w:r>
        <w:rPr>
          <w:rFonts w:hint="eastAsia" w:ascii="仿宋_GB2312" w:hAnsi="微软雅黑" w:eastAsia="仿宋_GB2312"/>
          <w:b/>
          <w:color w:val="000000"/>
          <w:sz w:val="24"/>
          <w:szCs w:val="24"/>
          <w:lang w:eastAsia="zh-CN"/>
        </w:rPr>
        <w:t>信息科学与工程学院</w:t>
      </w:r>
      <w:r>
        <w:rPr>
          <w:rFonts w:hint="eastAsia" w:ascii="仿宋_GB2312" w:hAnsi="微软雅黑" w:eastAsia="仿宋_GB2312"/>
          <w:b/>
          <w:color w:val="000000"/>
          <w:sz w:val="24"/>
          <w:szCs w:val="24"/>
        </w:rPr>
        <w:t>201</w:t>
      </w:r>
      <w:r>
        <w:rPr>
          <w:rFonts w:hint="eastAsia" w:ascii="仿宋_GB2312" w:hAnsi="微软雅黑" w:eastAsia="仿宋_GB2312"/>
          <w:b/>
          <w:color w:val="000000"/>
          <w:sz w:val="24"/>
          <w:szCs w:val="24"/>
          <w:lang w:val="en-US" w:eastAsia="zh-CN"/>
        </w:rPr>
        <w:t>7</w:t>
      </w:r>
      <w:r>
        <w:rPr>
          <w:rFonts w:hint="eastAsia" w:ascii="仿宋_GB2312" w:hAnsi="微软雅黑" w:eastAsia="仿宋_GB2312"/>
          <w:b/>
          <w:color w:val="000000"/>
          <w:sz w:val="24"/>
          <w:szCs w:val="24"/>
        </w:rPr>
        <w:t>届毕业生就业单位性质趋势变化</w:t>
      </w:r>
    </w:p>
    <w:tbl>
      <w:tblPr>
        <w:tblStyle w:val="16"/>
        <w:tblW w:w="8848" w:type="dxa"/>
        <w:tblInd w:w="96" w:type="dxa"/>
        <w:tblLayout w:type="fixed"/>
        <w:tblCellMar>
          <w:top w:w="0" w:type="dxa"/>
          <w:left w:w="108" w:type="dxa"/>
          <w:bottom w:w="0" w:type="dxa"/>
          <w:right w:w="108" w:type="dxa"/>
        </w:tblCellMar>
      </w:tblPr>
      <w:tblGrid>
        <w:gridCol w:w="1682"/>
        <w:gridCol w:w="939"/>
        <w:gridCol w:w="2014"/>
        <w:gridCol w:w="939"/>
        <w:gridCol w:w="1880"/>
        <w:gridCol w:w="1394"/>
      </w:tblGrid>
      <w:tr>
        <w:tblPrEx>
          <w:tblLayout w:type="fixed"/>
          <w:tblCellMar>
            <w:top w:w="0" w:type="dxa"/>
            <w:left w:w="108" w:type="dxa"/>
            <w:bottom w:w="0" w:type="dxa"/>
            <w:right w:w="108" w:type="dxa"/>
          </w:tblCellMar>
        </w:tblPrEx>
        <w:trPr>
          <w:trHeight w:val="454" w:hRule="atLeast"/>
        </w:trPr>
        <w:tc>
          <w:tcPr>
            <w:tcW w:w="1682" w:type="dxa"/>
            <w:vMerge w:val="restart"/>
            <w:tcBorders>
              <w:top w:val="single" w:color="auto" w:sz="8" w:space="0"/>
              <w:left w:val="single" w:color="auto" w:sz="8" w:space="0"/>
              <w:bottom w:val="single" w:color="000000" w:sz="8" w:space="0"/>
              <w:right w:val="single" w:color="auto" w:sz="8" w:space="0"/>
            </w:tcBorders>
            <w:shd w:val="clear" w:color="auto" w:fill="DBE5F1"/>
            <w:vAlign w:val="center"/>
          </w:tcPr>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类别</w:t>
            </w:r>
          </w:p>
        </w:tc>
        <w:tc>
          <w:tcPr>
            <w:tcW w:w="2953" w:type="dxa"/>
            <w:gridSpan w:val="2"/>
            <w:tcBorders>
              <w:top w:val="single" w:color="auto" w:sz="8" w:space="0"/>
              <w:left w:val="nil"/>
              <w:bottom w:val="single" w:color="auto" w:sz="8"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201</w:t>
            </w:r>
            <w:r>
              <w:rPr>
                <w:rFonts w:hint="eastAsia" w:ascii="宋体" w:hAnsi="宋体" w:cs="宋体"/>
                <w:b/>
                <w:color w:val="000000"/>
                <w:kern w:val="0"/>
                <w:sz w:val="22"/>
                <w:lang w:val="en-US" w:eastAsia="zh-CN"/>
              </w:rPr>
              <w:t>6</w:t>
            </w:r>
            <w:r>
              <w:rPr>
                <w:rFonts w:hint="eastAsia" w:ascii="宋体" w:hAnsi="宋体" w:cs="宋体"/>
                <w:b/>
                <w:color w:val="000000"/>
                <w:kern w:val="0"/>
                <w:sz w:val="22"/>
              </w:rPr>
              <w:t>届</w:t>
            </w:r>
          </w:p>
        </w:tc>
        <w:tc>
          <w:tcPr>
            <w:tcW w:w="2819" w:type="dxa"/>
            <w:gridSpan w:val="2"/>
            <w:tcBorders>
              <w:top w:val="single" w:color="auto" w:sz="8" w:space="0"/>
              <w:left w:val="nil"/>
              <w:bottom w:val="single" w:color="auto" w:sz="8"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201</w:t>
            </w:r>
            <w:r>
              <w:rPr>
                <w:rFonts w:hint="eastAsia" w:ascii="宋体" w:hAnsi="宋体" w:cs="宋体"/>
                <w:b/>
                <w:color w:val="000000"/>
                <w:kern w:val="0"/>
                <w:sz w:val="22"/>
                <w:lang w:val="en-US" w:eastAsia="zh-CN"/>
              </w:rPr>
              <w:t>7</w:t>
            </w:r>
            <w:r>
              <w:rPr>
                <w:rFonts w:hint="eastAsia" w:ascii="宋体" w:hAnsi="宋体" w:cs="宋体"/>
                <w:b/>
                <w:color w:val="000000"/>
                <w:kern w:val="0"/>
                <w:sz w:val="22"/>
              </w:rPr>
              <w:t>届</w:t>
            </w:r>
          </w:p>
        </w:tc>
        <w:tc>
          <w:tcPr>
            <w:tcW w:w="1394" w:type="dxa"/>
            <w:vMerge w:val="restart"/>
            <w:tcBorders>
              <w:top w:val="single" w:color="auto" w:sz="8" w:space="0"/>
              <w:left w:val="nil"/>
              <w:right w:val="single" w:color="auto" w:sz="8"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趋势</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变化</w:t>
            </w:r>
          </w:p>
        </w:tc>
      </w:tr>
      <w:tr>
        <w:tblPrEx>
          <w:tblLayout w:type="fixed"/>
          <w:tblCellMar>
            <w:top w:w="0" w:type="dxa"/>
            <w:left w:w="108" w:type="dxa"/>
            <w:bottom w:w="0" w:type="dxa"/>
            <w:right w:w="108" w:type="dxa"/>
          </w:tblCellMar>
        </w:tblPrEx>
        <w:trPr>
          <w:trHeight w:val="321" w:hRule="atLeast"/>
        </w:trPr>
        <w:tc>
          <w:tcPr>
            <w:tcW w:w="1682" w:type="dxa"/>
            <w:vMerge w:val="continue"/>
            <w:tcBorders>
              <w:top w:val="single" w:color="auto" w:sz="8" w:space="0"/>
              <w:left w:val="single" w:color="auto" w:sz="8" w:space="0"/>
              <w:bottom w:val="single" w:color="auto" w:sz="4" w:space="0"/>
              <w:right w:val="single" w:color="auto" w:sz="8" w:space="0"/>
            </w:tcBorders>
            <w:shd w:val="clear" w:color="auto" w:fill="DBE5F1"/>
            <w:vAlign w:val="center"/>
          </w:tcPr>
          <w:p>
            <w:pPr>
              <w:widowControl/>
              <w:spacing w:line="360" w:lineRule="auto"/>
              <w:jc w:val="center"/>
              <w:rPr>
                <w:rFonts w:ascii="仿宋_GB2312" w:hAnsi="宋体" w:eastAsia="仿宋_GB2312" w:cs="宋体"/>
                <w:b/>
                <w:bCs/>
                <w:color w:val="000000"/>
                <w:kern w:val="0"/>
                <w:sz w:val="24"/>
                <w:szCs w:val="24"/>
              </w:rPr>
            </w:pPr>
          </w:p>
        </w:tc>
        <w:tc>
          <w:tcPr>
            <w:tcW w:w="939" w:type="dxa"/>
            <w:tcBorders>
              <w:top w:val="nil"/>
              <w:left w:val="nil"/>
              <w:bottom w:val="single" w:color="auto" w:sz="4" w:space="0"/>
              <w:right w:val="single" w:color="auto" w:sz="8"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（人）</w:t>
            </w:r>
          </w:p>
        </w:tc>
        <w:tc>
          <w:tcPr>
            <w:tcW w:w="2014" w:type="dxa"/>
            <w:tcBorders>
              <w:top w:val="nil"/>
              <w:left w:val="nil"/>
              <w:bottom w:val="single" w:color="auto" w:sz="4" w:space="0"/>
              <w:right w:val="single" w:color="auto" w:sz="8"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占就业人数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比率（%）</w:t>
            </w:r>
          </w:p>
        </w:tc>
        <w:tc>
          <w:tcPr>
            <w:tcW w:w="939" w:type="dxa"/>
            <w:tcBorders>
              <w:top w:val="nil"/>
              <w:left w:val="nil"/>
              <w:bottom w:val="single" w:color="auto" w:sz="4" w:space="0"/>
              <w:right w:val="single" w:color="auto" w:sz="8"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（人）</w:t>
            </w:r>
          </w:p>
        </w:tc>
        <w:tc>
          <w:tcPr>
            <w:tcW w:w="1880" w:type="dxa"/>
            <w:tcBorders>
              <w:top w:val="nil"/>
              <w:left w:val="nil"/>
              <w:bottom w:val="single" w:color="auto" w:sz="4" w:space="0"/>
              <w:right w:val="single" w:color="auto" w:sz="8"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占就业人数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比率（%）</w:t>
            </w:r>
          </w:p>
        </w:tc>
        <w:tc>
          <w:tcPr>
            <w:tcW w:w="1394" w:type="dxa"/>
            <w:vMerge w:val="continue"/>
            <w:tcBorders>
              <w:left w:val="nil"/>
              <w:bottom w:val="single" w:color="auto" w:sz="4" w:space="0"/>
              <w:right w:val="single" w:color="auto" w:sz="8" w:space="0"/>
            </w:tcBorders>
            <w:shd w:val="clear" w:color="auto" w:fill="DBE5F1"/>
            <w:vAlign w:val="center"/>
          </w:tcPr>
          <w:p>
            <w:pPr>
              <w:widowControl/>
              <w:spacing w:line="360" w:lineRule="auto"/>
              <w:jc w:val="center"/>
              <w:rPr>
                <w:rFonts w:ascii="仿宋_GB2312" w:hAnsi="宋体" w:eastAsia="仿宋_GB2312" w:cs="宋体"/>
                <w:b/>
                <w:bCs/>
                <w:color w:val="000000"/>
                <w:kern w:val="0"/>
                <w:sz w:val="24"/>
                <w:szCs w:val="24"/>
              </w:rPr>
            </w:pP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 xml:space="preserve">机关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2.61%</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14</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4.05%</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上升</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其他教学单位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0.37%</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1.45%</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上升</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其他事业单位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6</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2.24%</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0.29%</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国有企业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22</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8.21%</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54</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15.61%</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上升</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三资企业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1.87%</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0.29%</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其他企业</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199</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74.25%</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230</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66.47%</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地方基层项目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0.37%</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0.29%</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highlight w:val="none"/>
              </w:rPr>
            </w:pPr>
            <w:r>
              <w:rPr>
                <w:rFonts w:hint="eastAsia" w:ascii="宋体" w:hAnsi="宋体" w:cs="宋体"/>
                <w:color w:val="000000"/>
                <w:kern w:val="0"/>
                <w:sz w:val="22"/>
                <w:highlight w:val="none"/>
              </w:rPr>
              <w:t xml:space="preserve">自主创业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2</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0.75%</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0</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0.00%</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highlight w:val="none"/>
              </w:rPr>
            </w:pPr>
            <w:r>
              <w:rPr>
                <w:rFonts w:hint="eastAsia" w:ascii="宋体" w:hAnsi="宋体" w:cs="宋体"/>
                <w:color w:val="000000"/>
                <w:kern w:val="0"/>
                <w:sz w:val="22"/>
                <w:highlight w:val="none"/>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highlight w:val="none"/>
              </w:rPr>
            </w:pPr>
            <w:r>
              <w:rPr>
                <w:rFonts w:hint="eastAsia" w:ascii="宋体" w:hAnsi="宋体" w:cs="宋体"/>
                <w:color w:val="000000"/>
                <w:kern w:val="0"/>
                <w:sz w:val="22"/>
                <w:highlight w:val="none"/>
              </w:rPr>
              <w:t xml:space="preserve">自由职业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3</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1.12%</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0</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highlight w:val="none"/>
                <w:lang w:val="en-US" w:eastAsia="zh-CN"/>
              </w:rPr>
            </w:pPr>
            <w:r>
              <w:rPr>
                <w:rFonts w:hint="eastAsia" w:ascii="宋体" w:hAnsi="宋体" w:cs="宋体"/>
                <w:color w:val="000000"/>
                <w:kern w:val="0"/>
                <w:sz w:val="22"/>
                <w:highlight w:val="none"/>
                <w:lang w:val="en-US" w:eastAsia="zh-CN"/>
              </w:rPr>
              <w:t>0.00%</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highlight w:val="none"/>
              </w:rPr>
            </w:pPr>
            <w:r>
              <w:rPr>
                <w:rFonts w:hint="eastAsia" w:ascii="宋体" w:hAnsi="宋体" w:cs="宋体"/>
                <w:color w:val="000000"/>
                <w:kern w:val="0"/>
                <w:sz w:val="22"/>
                <w:highlight w:val="none"/>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升学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21</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7.83%</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36</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10.40%</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上升</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rPr>
            </w:pPr>
            <w:r>
              <w:rPr>
                <w:rFonts w:hint="eastAsia" w:ascii="宋体" w:hAnsi="宋体" w:cs="宋体"/>
                <w:color w:val="000000"/>
                <w:kern w:val="0"/>
                <w:sz w:val="22"/>
              </w:rPr>
              <w:t xml:space="preserve">出国、出境          </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0.37%</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0.29%</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下降</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eastAsiaTheme="minorEastAsia"/>
                <w:color w:val="000000"/>
                <w:kern w:val="0"/>
                <w:sz w:val="22"/>
                <w:lang w:eastAsia="zh-CN"/>
              </w:rPr>
            </w:pPr>
            <w:r>
              <w:rPr>
                <w:rFonts w:hint="eastAsia" w:ascii="宋体" w:hAnsi="宋体" w:cs="宋体"/>
                <w:color w:val="000000"/>
                <w:kern w:val="0"/>
                <w:sz w:val="22"/>
                <w:lang w:eastAsia="zh-CN"/>
              </w:rPr>
              <w:t>部队</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0.00%</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2</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0.59%</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上升</w:t>
            </w:r>
          </w:p>
        </w:tc>
      </w:tr>
      <w:tr>
        <w:tblPrEx>
          <w:tblLayout w:type="fixed"/>
          <w:tblCellMar>
            <w:top w:w="0" w:type="dxa"/>
            <w:left w:w="108" w:type="dxa"/>
            <w:bottom w:w="0" w:type="dxa"/>
            <w:right w:w="108" w:type="dxa"/>
          </w:tblCellMar>
        </w:tblPrEx>
        <w:trPr>
          <w:trHeight w:val="323" w:hRule="atLeast"/>
        </w:trPr>
        <w:tc>
          <w:tcPr>
            <w:tcW w:w="1682" w:type="dxa"/>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60" w:lineRule="auto"/>
              <w:jc w:val="left"/>
              <w:rPr>
                <w:rFonts w:hint="eastAsia" w:ascii="宋体" w:hAnsi="宋体" w:cs="宋体"/>
                <w:color w:val="000000"/>
                <w:kern w:val="0"/>
                <w:sz w:val="22"/>
                <w:lang w:eastAsia="zh-CN"/>
              </w:rPr>
            </w:pPr>
            <w:r>
              <w:rPr>
                <w:rFonts w:hint="eastAsia" w:ascii="宋体" w:hAnsi="宋体" w:cs="宋体"/>
                <w:color w:val="000000"/>
                <w:kern w:val="0"/>
                <w:sz w:val="22"/>
                <w:lang w:eastAsia="zh-CN"/>
              </w:rPr>
              <w:t>医疗卫生单位</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w:t>
            </w:r>
          </w:p>
        </w:tc>
        <w:tc>
          <w:tcPr>
            <w:tcW w:w="201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0.00%</w:t>
            </w:r>
          </w:p>
        </w:tc>
        <w:tc>
          <w:tcPr>
            <w:tcW w:w="939"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w:t>
            </w:r>
          </w:p>
        </w:tc>
        <w:tc>
          <w:tcPr>
            <w:tcW w:w="1880"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0.29%</w:t>
            </w:r>
          </w:p>
        </w:tc>
        <w:tc>
          <w:tcPr>
            <w:tcW w:w="1394"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2"/>
              </w:rPr>
            </w:pPr>
            <w:r>
              <w:rPr>
                <w:rFonts w:hint="eastAsia" w:ascii="宋体" w:hAnsi="宋体" w:cs="宋体"/>
                <w:color w:val="000000"/>
                <w:kern w:val="0"/>
                <w:sz w:val="22"/>
                <w:lang w:eastAsia="zh-CN"/>
              </w:rPr>
              <w:t>上升</w:t>
            </w:r>
          </w:p>
        </w:tc>
      </w:tr>
    </w:tbl>
    <w:p>
      <w:pPr>
        <w:pStyle w:val="24"/>
        <w:spacing w:line="360" w:lineRule="auto"/>
        <w:ind w:firstLine="643"/>
        <w:rPr>
          <w:rFonts w:hint="eastAsia" w:ascii="楷体_GB2312" w:hAnsi="微软雅黑" w:eastAsia="楷体_GB2312"/>
          <w:b/>
          <w:color w:val="000000"/>
          <w:sz w:val="32"/>
          <w:szCs w:val="32"/>
        </w:rPr>
      </w:pPr>
    </w:p>
    <w:p>
      <w:pPr>
        <w:pStyle w:val="24"/>
        <w:spacing w:line="360" w:lineRule="auto"/>
        <w:ind w:firstLine="643"/>
        <w:rPr>
          <w:rFonts w:hint="eastAsia" w:ascii="楷体_GB2312" w:hAnsi="微软雅黑" w:eastAsia="楷体_GB2312"/>
          <w:b/>
          <w:color w:val="000000"/>
          <w:sz w:val="32"/>
          <w:szCs w:val="32"/>
        </w:rPr>
      </w:pPr>
    </w:p>
    <w:p>
      <w:pPr>
        <w:pStyle w:val="24"/>
        <w:spacing w:line="360" w:lineRule="auto"/>
        <w:ind w:firstLine="643"/>
        <w:rPr>
          <w:rFonts w:hint="eastAsia" w:ascii="楷体_GB2312" w:hAnsi="微软雅黑" w:eastAsia="楷体_GB2312"/>
          <w:b/>
          <w:color w:val="000000"/>
          <w:sz w:val="32"/>
          <w:szCs w:val="32"/>
        </w:rPr>
      </w:pP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108" w:name="_Toc14300"/>
      <w:bookmarkStart w:id="109" w:name="_Toc20727"/>
      <w:bookmarkStart w:id="110" w:name="_Toc31430"/>
      <w:r>
        <w:rPr>
          <w:rFonts w:hint="eastAsia"/>
        </w:rPr>
        <w:t>（二）毕业生就业区域流向趋势变化</w:t>
      </w:r>
      <w:bookmarkEnd w:id="108"/>
      <w:bookmarkEnd w:id="109"/>
      <w:bookmarkEnd w:id="110"/>
    </w:p>
    <w:p>
      <w:pPr>
        <w:pStyle w:val="19"/>
        <w:spacing w:line="600" w:lineRule="exact"/>
        <w:ind w:firstLine="640"/>
        <w:rPr>
          <w:rFonts w:hint="eastAsia" w:ascii="仿宋_GB2312" w:hAnsi="微软雅黑" w:eastAsia="仿宋_GB2312"/>
          <w:color w:val="000000"/>
          <w:sz w:val="32"/>
          <w:szCs w:val="32"/>
        </w:rPr>
      </w:pPr>
      <w:r>
        <w:rPr>
          <w:rFonts w:hint="eastAsia" w:ascii="仿宋_GB2312" w:hAnsi="微软雅黑" w:eastAsia="仿宋_GB2312"/>
          <w:color w:val="000000"/>
          <w:sz w:val="32"/>
          <w:szCs w:val="32"/>
          <w:u w:val="none"/>
        </w:rPr>
        <w:t>201</w:t>
      </w:r>
      <w:r>
        <w:rPr>
          <w:rFonts w:hint="eastAsia" w:ascii="仿宋_GB2312" w:hAnsi="微软雅黑" w:eastAsia="仿宋_GB2312"/>
          <w:color w:val="000000"/>
          <w:sz w:val="32"/>
          <w:szCs w:val="32"/>
          <w:u w:val="none"/>
          <w:lang w:val="en-US" w:eastAsia="zh-CN"/>
        </w:rPr>
        <w:t>7</w:t>
      </w:r>
      <w:r>
        <w:rPr>
          <w:rFonts w:hint="eastAsia" w:ascii="仿宋_GB2312" w:hAnsi="微软雅黑" w:eastAsia="仿宋_GB2312"/>
          <w:color w:val="000000"/>
          <w:sz w:val="32"/>
          <w:szCs w:val="32"/>
          <w:u w:val="none"/>
        </w:rPr>
        <w:t>届毕业生就业区域流向较201</w:t>
      </w:r>
      <w:r>
        <w:rPr>
          <w:rFonts w:hint="eastAsia" w:ascii="仿宋_GB2312" w:hAnsi="微软雅黑" w:eastAsia="仿宋_GB2312"/>
          <w:color w:val="000000"/>
          <w:sz w:val="32"/>
          <w:szCs w:val="32"/>
          <w:u w:val="none"/>
          <w:lang w:val="en-US" w:eastAsia="zh-CN"/>
        </w:rPr>
        <w:t>6</w:t>
      </w:r>
      <w:r>
        <w:rPr>
          <w:rFonts w:hint="eastAsia" w:ascii="仿宋_GB2312" w:hAnsi="微软雅黑" w:eastAsia="仿宋_GB2312"/>
          <w:color w:val="000000"/>
          <w:sz w:val="32"/>
          <w:szCs w:val="32"/>
          <w:u w:val="none"/>
        </w:rPr>
        <w:t>届毕业生比率增长的</w:t>
      </w:r>
      <w:r>
        <w:rPr>
          <w:rFonts w:hint="eastAsia" w:ascii="仿宋_GB2312" w:hAnsi="微软雅黑" w:eastAsia="仿宋_GB2312"/>
          <w:color w:val="auto"/>
          <w:sz w:val="32"/>
          <w:szCs w:val="32"/>
          <w:u w:val="none"/>
        </w:rPr>
        <w:t>有</w:t>
      </w:r>
      <w:r>
        <w:rPr>
          <w:rFonts w:hint="eastAsia" w:ascii="仿宋_GB2312" w:hAnsi="微软雅黑" w:eastAsia="仿宋_GB2312"/>
          <w:color w:val="auto"/>
          <w:sz w:val="32"/>
          <w:szCs w:val="32"/>
          <w:u w:val="none"/>
          <w:lang w:eastAsia="zh-CN"/>
        </w:rPr>
        <w:t>陕甘宁青区域经济体，中原区域经济体。</w:t>
      </w:r>
      <w:r>
        <w:rPr>
          <w:rFonts w:hint="eastAsia" w:ascii="仿宋_GB2312" w:hAnsi="微软雅黑" w:eastAsia="仿宋_GB2312"/>
          <w:color w:val="000000"/>
          <w:sz w:val="32"/>
          <w:szCs w:val="32"/>
          <w:u w:val="none"/>
        </w:rPr>
        <w:t>详见</w:t>
      </w:r>
      <w:r>
        <w:rPr>
          <w:rFonts w:hint="eastAsia" w:ascii="仿宋_GB2312" w:hAnsi="微软雅黑" w:eastAsia="仿宋_GB2312"/>
          <w:color w:val="000000"/>
          <w:sz w:val="32"/>
          <w:szCs w:val="32"/>
        </w:rPr>
        <w:t>表3.</w:t>
      </w:r>
      <w:r>
        <w:rPr>
          <w:rFonts w:hint="eastAsia" w:ascii="仿宋_GB2312" w:hAnsi="微软雅黑" w:eastAsia="仿宋_GB2312"/>
          <w:color w:val="000000"/>
          <w:sz w:val="32"/>
          <w:szCs w:val="32"/>
          <w:lang w:val="en-US" w:eastAsia="zh-CN"/>
        </w:rPr>
        <w:t>2</w:t>
      </w:r>
      <w:r>
        <w:rPr>
          <w:rFonts w:hint="eastAsia" w:ascii="仿宋_GB2312" w:hAnsi="微软雅黑" w:eastAsia="仿宋_GB2312"/>
          <w:color w:val="000000"/>
          <w:sz w:val="32"/>
          <w:szCs w:val="32"/>
        </w:rPr>
        <w:t>。</w:t>
      </w:r>
    </w:p>
    <w:p>
      <w:pPr>
        <w:pStyle w:val="23"/>
        <w:spacing w:line="600" w:lineRule="exact"/>
        <w:ind w:firstLine="0" w:firstLineChars="0"/>
        <w:jc w:val="center"/>
        <w:rPr>
          <w:rFonts w:hint="eastAsia" w:ascii="仿宋_GB2312" w:hAnsi="微软雅黑" w:eastAsia="仿宋_GB2312"/>
          <w:b/>
          <w:color w:val="000000"/>
          <w:sz w:val="24"/>
          <w:szCs w:val="24"/>
        </w:rPr>
      </w:pPr>
      <w:r>
        <w:rPr>
          <w:rFonts w:hint="eastAsia" w:ascii="仿宋_GB2312" w:hAnsi="微软雅黑" w:eastAsia="仿宋_GB2312"/>
          <w:b/>
          <w:color w:val="000000"/>
          <w:sz w:val="24"/>
          <w:szCs w:val="24"/>
        </w:rPr>
        <w:t>表3.</w:t>
      </w:r>
      <w:r>
        <w:rPr>
          <w:rFonts w:hint="eastAsia" w:ascii="仿宋_GB2312" w:hAnsi="微软雅黑" w:eastAsia="仿宋_GB2312"/>
          <w:b/>
          <w:color w:val="000000"/>
          <w:sz w:val="24"/>
          <w:szCs w:val="24"/>
          <w:lang w:val="en-US" w:eastAsia="zh-CN"/>
        </w:rPr>
        <w:t>2</w:t>
      </w:r>
      <w:r>
        <w:rPr>
          <w:rFonts w:hint="eastAsia" w:ascii="仿宋_GB2312" w:hAnsi="微软雅黑" w:eastAsia="仿宋_GB2312"/>
          <w:b/>
          <w:color w:val="000000"/>
          <w:sz w:val="24"/>
          <w:szCs w:val="24"/>
        </w:rPr>
        <w:t>吉首大学</w:t>
      </w:r>
      <w:r>
        <w:rPr>
          <w:rFonts w:hint="eastAsia" w:ascii="仿宋_GB2312" w:hAnsi="微软雅黑" w:eastAsia="仿宋_GB2312"/>
          <w:b/>
          <w:color w:val="000000"/>
          <w:sz w:val="24"/>
          <w:szCs w:val="24"/>
          <w:lang w:eastAsia="zh-CN"/>
        </w:rPr>
        <w:t>信息科学与工程学院</w:t>
      </w:r>
      <w:r>
        <w:rPr>
          <w:rFonts w:hint="eastAsia" w:ascii="仿宋_GB2312" w:hAnsi="微软雅黑" w:eastAsia="仿宋_GB2312"/>
          <w:b/>
          <w:color w:val="000000"/>
          <w:sz w:val="24"/>
          <w:szCs w:val="24"/>
          <w:lang w:val="en-US" w:eastAsia="zh-CN"/>
        </w:rPr>
        <w:t>2017届</w:t>
      </w:r>
      <w:r>
        <w:rPr>
          <w:rFonts w:hint="eastAsia" w:ascii="仿宋_GB2312" w:hAnsi="微软雅黑" w:eastAsia="仿宋_GB2312"/>
          <w:b/>
          <w:color w:val="000000"/>
          <w:sz w:val="24"/>
          <w:szCs w:val="24"/>
        </w:rPr>
        <w:t>毕业生就业区域流向趋势变化</w:t>
      </w:r>
    </w:p>
    <w:tbl>
      <w:tblPr>
        <w:tblStyle w:val="16"/>
        <w:tblW w:w="8885" w:type="dxa"/>
        <w:jc w:val="center"/>
        <w:tblInd w:w="0" w:type="dxa"/>
        <w:tblLayout w:type="fixed"/>
        <w:tblCellMar>
          <w:top w:w="0" w:type="dxa"/>
          <w:left w:w="108" w:type="dxa"/>
          <w:bottom w:w="0" w:type="dxa"/>
          <w:right w:w="108" w:type="dxa"/>
        </w:tblCellMar>
      </w:tblPr>
      <w:tblGrid>
        <w:gridCol w:w="3033"/>
        <w:gridCol w:w="1298"/>
        <w:gridCol w:w="1403"/>
        <w:gridCol w:w="879"/>
        <w:gridCol w:w="1403"/>
        <w:gridCol w:w="869"/>
      </w:tblGrid>
      <w:tr>
        <w:tblPrEx>
          <w:tblLayout w:type="fixed"/>
          <w:tblCellMar>
            <w:top w:w="0" w:type="dxa"/>
            <w:left w:w="108" w:type="dxa"/>
            <w:bottom w:w="0" w:type="dxa"/>
            <w:right w:w="108" w:type="dxa"/>
          </w:tblCellMar>
        </w:tblPrEx>
        <w:trPr>
          <w:trHeight w:val="454" w:hRule="atLeast"/>
          <w:jc w:val="center"/>
        </w:trPr>
        <w:tc>
          <w:tcPr>
            <w:tcW w:w="3033"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地域名称</w:t>
            </w:r>
          </w:p>
        </w:tc>
        <w:tc>
          <w:tcPr>
            <w:tcW w:w="2701" w:type="dxa"/>
            <w:gridSpan w:val="2"/>
            <w:tcBorders>
              <w:top w:val="single" w:color="auto" w:sz="4" w:space="0"/>
              <w:left w:val="nil"/>
              <w:bottom w:val="single" w:color="auto" w:sz="4" w:space="0"/>
              <w:right w:val="single" w:color="auto" w:sz="4" w:space="0"/>
            </w:tcBorders>
            <w:shd w:val="clear" w:color="auto" w:fill="DBE5F1"/>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201</w:t>
            </w:r>
            <w:r>
              <w:rPr>
                <w:rFonts w:hint="eastAsia" w:ascii="宋体" w:hAnsi="宋体" w:cs="宋体"/>
                <w:b/>
                <w:color w:val="000000"/>
                <w:kern w:val="0"/>
                <w:sz w:val="24"/>
                <w:szCs w:val="24"/>
                <w:lang w:val="en-US" w:eastAsia="zh-CN"/>
              </w:rPr>
              <w:t>6</w:t>
            </w:r>
            <w:r>
              <w:rPr>
                <w:rFonts w:hint="eastAsia" w:ascii="宋体" w:hAnsi="宋体" w:cs="宋体"/>
                <w:b/>
                <w:color w:val="000000"/>
                <w:kern w:val="0"/>
                <w:sz w:val="24"/>
                <w:szCs w:val="24"/>
              </w:rPr>
              <w:t>届</w:t>
            </w:r>
          </w:p>
        </w:tc>
        <w:tc>
          <w:tcPr>
            <w:tcW w:w="2282" w:type="dxa"/>
            <w:gridSpan w:val="2"/>
            <w:tcBorders>
              <w:top w:val="single" w:color="auto" w:sz="4" w:space="0"/>
              <w:left w:val="nil"/>
              <w:bottom w:val="single" w:color="auto" w:sz="4" w:space="0"/>
              <w:right w:val="single" w:color="auto" w:sz="4" w:space="0"/>
            </w:tcBorders>
            <w:shd w:val="clear" w:color="auto" w:fill="DBE5F1"/>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201</w:t>
            </w:r>
            <w:r>
              <w:rPr>
                <w:rFonts w:hint="eastAsia" w:ascii="宋体" w:hAnsi="宋体" w:cs="宋体"/>
                <w:b/>
                <w:color w:val="000000"/>
                <w:kern w:val="0"/>
                <w:sz w:val="24"/>
                <w:szCs w:val="24"/>
                <w:lang w:val="en-US" w:eastAsia="zh-CN"/>
              </w:rPr>
              <w:t>7</w:t>
            </w:r>
            <w:r>
              <w:rPr>
                <w:rFonts w:hint="eastAsia" w:ascii="宋体" w:hAnsi="宋体" w:cs="宋体"/>
                <w:b/>
                <w:color w:val="000000"/>
                <w:kern w:val="0"/>
                <w:sz w:val="24"/>
                <w:szCs w:val="24"/>
              </w:rPr>
              <w:t>届</w:t>
            </w:r>
          </w:p>
        </w:tc>
        <w:tc>
          <w:tcPr>
            <w:tcW w:w="869"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widowControl/>
              <w:spacing w:line="30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趋势</w:t>
            </w:r>
          </w:p>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变化</w:t>
            </w:r>
          </w:p>
        </w:tc>
      </w:tr>
      <w:tr>
        <w:tblPrEx>
          <w:tblLayout w:type="fixed"/>
          <w:tblCellMar>
            <w:top w:w="0" w:type="dxa"/>
            <w:left w:w="108" w:type="dxa"/>
            <w:bottom w:w="0" w:type="dxa"/>
            <w:right w:w="108" w:type="dxa"/>
          </w:tblCellMar>
        </w:tblPrEx>
        <w:trPr>
          <w:trHeight w:val="578" w:hRule="atLeast"/>
          <w:jc w:val="center"/>
        </w:trPr>
        <w:tc>
          <w:tcPr>
            <w:tcW w:w="3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 w:val="24"/>
                <w:szCs w:val="24"/>
              </w:rPr>
            </w:pPr>
          </w:p>
        </w:tc>
        <w:tc>
          <w:tcPr>
            <w:tcW w:w="1298" w:type="dxa"/>
            <w:tcBorders>
              <w:top w:val="single" w:color="auto" w:sz="4" w:space="0"/>
              <w:left w:val="nil"/>
              <w:bottom w:val="single" w:color="auto" w:sz="4" w:space="0"/>
              <w:right w:val="single" w:color="auto" w:sz="4"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（人）</w:t>
            </w:r>
          </w:p>
        </w:tc>
        <w:tc>
          <w:tcPr>
            <w:tcW w:w="1403" w:type="dxa"/>
            <w:tcBorders>
              <w:top w:val="single" w:color="auto" w:sz="4" w:space="0"/>
              <w:left w:val="nil"/>
              <w:bottom w:val="single" w:color="auto" w:sz="4" w:space="0"/>
              <w:right w:val="single" w:color="auto" w:sz="4"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占就业人数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比率（%）</w:t>
            </w:r>
          </w:p>
        </w:tc>
        <w:tc>
          <w:tcPr>
            <w:tcW w:w="879" w:type="dxa"/>
            <w:tcBorders>
              <w:top w:val="single" w:color="auto" w:sz="4" w:space="0"/>
              <w:left w:val="nil"/>
              <w:bottom w:val="single" w:color="auto" w:sz="4" w:space="0"/>
              <w:right w:val="single" w:color="auto" w:sz="4"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（人）</w:t>
            </w:r>
          </w:p>
        </w:tc>
        <w:tc>
          <w:tcPr>
            <w:tcW w:w="1403" w:type="dxa"/>
            <w:tcBorders>
              <w:top w:val="single" w:color="auto" w:sz="4" w:space="0"/>
              <w:left w:val="nil"/>
              <w:bottom w:val="single" w:color="auto" w:sz="4" w:space="0"/>
              <w:right w:val="single" w:color="auto" w:sz="4" w:space="0"/>
            </w:tcBorders>
            <w:shd w:val="clear" w:color="auto" w:fill="DBE5F1"/>
            <w:vAlign w:val="center"/>
          </w:tcPr>
          <w:p>
            <w:pPr>
              <w:widowControl/>
              <w:spacing w:line="300" w:lineRule="exact"/>
              <w:jc w:val="center"/>
              <w:rPr>
                <w:rFonts w:hint="eastAsia" w:ascii="宋体" w:hAnsi="宋体" w:cs="宋体"/>
                <w:b/>
                <w:color w:val="000000"/>
                <w:kern w:val="0"/>
                <w:sz w:val="22"/>
              </w:rPr>
            </w:pPr>
            <w:r>
              <w:rPr>
                <w:rFonts w:hint="eastAsia" w:ascii="宋体" w:hAnsi="宋体" w:cs="宋体"/>
                <w:b/>
                <w:color w:val="000000"/>
                <w:kern w:val="0"/>
                <w:sz w:val="22"/>
              </w:rPr>
              <w:t>占就业人数</w:t>
            </w:r>
          </w:p>
          <w:p>
            <w:pPr>
              <w:widowControl/>
              <w:spacing w:line="300" w:lineRule="exact"/>
              <w:jc w:val="center"/>
              <w:rPr>
                <w:rFonts w:ascii="宋体" w:hAnsi="宋体" w:cs="宋体"/>
                <w:b/>
                <w:color w:val="000000"/>
                <w:kern w:val="0"/>
                <w:sz w:val="22"/>
              </w:rPr>
            </w:pPr>
            <w:r>
              <w:rPr>
                <w:rFonts w:hint="eastAsia" w:ascii="宋体" w:hAnsi="宋体" w:cs="宋体"/>
                <w:b/>
                <w:color w:val="000000"/>
                <w:kern w:val="0"/>
                <w:sz w:val="22"/>
              </w:rPr>
              <w:t>比率（%）</w:t>
            </w: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90"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00" w:lineRule="exact"/>
              <w:jc w:val="both"/>
              <w:rPr>
                <w:rFonts w:ascii="宋体" w:hAnsi="宋体" w:cs="宋体"/>
                <w:color w:val="000000"/>
                <w:kern w:val="0"/>
                <w:sz w:val="24"/>
                <w:szCs w:val="24"/>
              </w:rPr>
            </w:pPr>
            <w:r>
              <w:rPr>
                <w:rFonts w:hint="eastAsia" w:ascii="宋体" w:hAnsi="宋体" w:cs="宋体"/>
                <w:color w:val="000000"/>
                <w:kern w:val="0"/>
                <w:sz w:val="24"/>
                <w:szCs w:val="24"/>
              </w:rPr>
              <w:t>泛东北区域经济体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00" w:lineRule="exact"/>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00" w:lineRule="exact"/>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0.37%</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0.29%</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00" w:lineRule="exact"/>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下降</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泛渤海湾区域经济体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32</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11.94%</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22</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6.36%</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下降</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陕甘宁青区域经济体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0.37%</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0.59%</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上升</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中原区域经济体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75</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27.99%</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ascii="宋体" w:hAnsi="宋体" w:cs="宋体"/>
                <w:color w:val="000000"/>
                <w:kern w:val="0"/>
                <w:sz w:val="22"/>
              </w:rPr>
            </w:pPr>
            <w:r>
              <w:rPr>
                <w:rFonts w:hint="eastAsia" w:ascii="宋体" w:hAnsi="宋体" w:eastAsia="宋体" w:cs="宋体"/>
                <w:color w:val="auto"/>
                <w:kern w:val="0"/>
                <w:sz w:val="22"/>
                <w:szCs w:val="22"/>
                <w:lang w:val="en-US" w:eastAsia="zh-CN"/>
              </w:rPr>
              <w:t>181</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52.31%</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上升</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泛长江三角洲区域经济体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7.84%</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22</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6.36%</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下降</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泛珠江三角洲区域经济体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95</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35.45%</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106</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30.64%</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下降</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西南区域经济体</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5.97%</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6</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1.73%</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下降</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西部生态经济区</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2.99%</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5</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1.45</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eastAsia="zh-CN"/>
              </w:rPr>
              <w:t>下降</w:t>
            </w:r>
          </w:p>
        </w:tc>
      </w:tr>
      <w:tr>
        <w:tblPrEx>
          <w:tblLayout w:type="fixed"/>
          <w:tblCellMar>
            <w:top w:w="0" w:type="dxa"/>
            <w:left w:w="108" w:type="dxa"/>
            <w:bottom w:w="0" w:type="dxa"/>
            <w:right w:w="108" w:type="dxa"/>
          </w:tblCellMar>
        </w:tblPrEx>
        <w:trPr>
          <w:trHeight w:val="454" w:hRule="atLeast"/>
          <w:jc w:val="center"/>
        </w:trPr>
        <w:tc>
          <w:tcPr>
            <w:tcW w:w="3033" w:type="dxa"/>
            <w:tcBorders>
              <w:top w:val="single" w:color="auto" w:sz="4" w:space="0"/>
              <w:left w:val="single" w:color="auto" w:sz="4" w:space="0"/>
              <w:bottom w:val="single" w:color="auto" w:sz="4" w:space="0"/>
              <w:right w:val="single" w:color="auto" w:sz="4" w:space="0"/>
            </w:tcBorders>
            <w:shd w:val="clear" w:color="auto" w:fill="EAF1DD"/>
            <w:vAlign w:val="center"/>
          </w:tcPr>
          <w:p>
            <w:pPr>
              <w:widowControl/>
              <w:spacing w:line="360" w:lineRule="auto"/>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其他</w:t>
            </w:r>
          </w:p>
        </w:tc>
        <w:tc>
          <w:tcPr>
            <w:tcW w:w="1298"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0</w:t>
            </w:r>
          </w:p>
        </w:tc>
        <w:tc>
          <w:tcPr>
            <w:tcW w:w="1403"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0%</w:t>
            </w:r>
          </w:p>
        </w:tc>
        <w:tc>
          <w:tcPr>
            <w:tcW w:w="879"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w:t>
            </w:r>
          </w:p>
        </w:tc>
        <w:tc>
          <w:tcPr>
            <w:tcW w:w="1403" w:type="dxa"/>
            <w:tcBorders>
              <w:top w:val="single" w:color="auto" w:sz="4" w:space="0"/>
              <w:left w:val="nil"/>
              <w:bottom w:val="single" w:color="auto" w:sz="4" w:space="0"/>
              <w:right w:val="single" w:color="auto" w:sz="4" w:space="0"/>
            </w:tcBorders>
            <w:shd w:val="clear" w:color="auto" w:fill="EAF1DD"/>
            <w:vAlign w:val="center"/>
          </w:tcPr>
          <w:p>
            <w:pPr>
              <w:spacing w:line="360" w:lineRule="auto"/>
              <w:jc w:val="center"/>
              <w:rPr>
                <w:rFonts w:hint="eastAsia" w:ascii="宋体" w:hAnsi="宋体" w:cs="宋体"/>
                <w:color w:val="000000"/>
                <w:kern w:val="0"/>
                <w:sz w:val="22"/>
                <w:highlight w:val="yellow"/>
                <w:lang w:val="en-US" w:eastAsia="zh-CN"/>
              </w:rPr>
            </w:pPr>
            <w:r>
              <w:rPr>
                <w:rFonts w:hint="eastAsia" w:ascii="宋体" w:hAnsi="宋体" w:cs="宋体"/>
                <w:color w:val="000000"/>
                <w:kern w:val="0"/>
                <w:sz w:val="22"/>
                <w:lang w:val="en-US" w:eastAsia="zh-CN"/>
              </w:rPr>
              <w:t>0.29%</w:t>
            </w:r>
          </w:p>
        </w:tc>
        <w:tc>
          <w:tcPr>
            <w:tcW w:w="869" w:type="dxa"/>
            <w:tcBorders>
              <w:top w:val="single" w:color="auto" w:sz="4" w:space="0"/>
              <w:left w:val="nil"/>
              <w:bottom w:val="single" w:color="auto" w:sz="4" w:space="0"/>
              <w:right w:val="single" w:color="auto" w:sz="4" w:space="0"/>
            </w:tcBorders>
            <w:shd w:val="clear" w:color="auto" w:fill="EAF1DD"/>
            <w:vAlign w:val="center"/>
          </w:tcPr>
          <w:p>
            <w:pPr>
              <w:widowControl/>
              <w:spacing w:line="360" w:lineRule="auto"/>
              <w:jc w:val="center"/>
              <w:rPr>
                <w:rFonts w:hint="eastAsia" w:ascii="宋体" w:hAnsi="宋体" w:cs="宋体"/>
                <w:color w:val="000000"/>
                <w:kern w:val="0"/>
                <w:sz w:val="24"/>
                <w:szCs w:val="24"/>
                <w:highlight w:val="yellow"/>
                <w:lang w:eastAsia="zh-CN"/>
              </w:rPr>
            </w:pPr>
            <w:r>
              <w:rPr>
                <w:rFonts w:hint="eastAsia" w:ascii="宋体" w:hAnsi="宋体" w:cs="宋体"/>
                <w:color w:val="000000"/>
                <w:kern w:val="0"/>
                <w:sz w:val="24"/>
                <w:szCs w:val="24"/>
                <w:lang w:eastAsia="zh-CN"/>
              </w:rPr>
              <w:t>上升</w:t>
            </w:r>
          </w:p>
        </w:tc>
      </w:tr>
    </w:tbl>
    <w:p>
      <w:pPr>
        <w:pStyle w:val="11"/>
        <w:spacing w:line="360" w:lineRule="auto"/>
        <w:jc w:val="both"/>
        <w:rPr>
          <w:rFonts w:hint="eastAsia" w:ascii="仿宋_GB2312" w:hAnsi="微软雅黑" w:eastAsia="仿宋_GB2312" w:cs="仿宋_GB2312"/>
          <w:color w:val="000000"/>
          <w:kern w:val="2"/>
          <w:sz w:val="32"/>
          <w:szCs w:val="32"/>
          <w:lang w:eastAsia="zh-CN" w:bidi="ar"/>
        </w:rPr>
      </w:pPr>
    </w:p>
    <w:p>
      <w:pPr>
        <w:pStyle w:val="2"/>
      </w:pPr>
      <w:bookmarkStart w:id="111" w:name="_Toc25455"/>
      <w:bookmarkStart w:id="112" w:name="_Toc3553"/>
      <w:bookmarkStart w:id="113" w:name="_Toc3005"/>
      <w:bookmarkStart w:id="114" w:name="_Toc11321"/>
      <w:r>
        <w:rPr>
          <w:rFonts w:hint="eastAsia"/>
          <w:lang w:eastAsia="zh-CN"/>
        </w:rPr>
        <w:t>四</w:t>
      </w:r>
      <w:r>
        <w:rPr>
          <w:rFonts w:hint="eastAsia"/>
        </w:rPr>
        <w:t>、 我院毕业生就业工作的主要特点</w:t>
      </w:r>
      <w:bookmarkEnd w:id="111"/>
      <w:bookmarkEnd w:id="112"/>
      <w:bookmarkEnd w:id="113"/>
      <w:bookmarkEnd w:id="114"/>
    </w:p>
    <w:p>
      <w:pPr>
        <w:widowControl/>
        <w:spacing w:line="300" w:lineRule="atLeast"/>
        <w:ind w:firstLine="64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 xml:space="preserve">年学院高度重视毕业生就业工作，紧紧围绕实现毕业生充分就业和不断提高就业质量的工作目标，推行就业工作目标管理，进一步强化思想共识，整合有效资源，构建长效机制，完善工作体系，有效提升就业创业指导服务工作的专业化水平，举全院之力促进毕业生高质量、充分就业。   </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115" w:name="_Toc20135"/>
      <w:bookmarkStart w:id="116" w:name="_Toc25351"/>
      <w:bookmarkStart w:id="117" w:name="_Toc1669"/>
      <w:r>
        <w:rPr>
          <w:rFonts w:hint="eastAsia"/>
        </w:rPr>
        <w:t>（一）建立健全管理机制，强化就业创业工作队伍建设</w:t>
      </w:r>
      <w:bookmarkEnd w:id="115"/>
      <w:bookmarkEnd w:id="116"/>
      <w:bookmarkEnd w:id="117"/>
    </w:p>
    <w:p>
      <w:pPr>
        <w:widowControl/>
        <w:spacing w:line="300" w:lineRule="atLeast"/>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为进一步提高认识，增强责任感和大局意识，健全“招生就业处牵头、院系为主体、坚持重心下移”的联动机制，实施好毕业生就业工作“一把手”工程，我院与学校签订了《吉首大学毕业生就业工作目标责任书》，成立了以鲁荣波、周小清为组长，田清旺为副组长，就业专干、教务秘书、辅导员、毕业班班主任为成员的毕业生就业工作领导小组。</w:t>
      </w:r>
    </w:p>
    <w:p>
      <w:pPr>
        <w:widowControl/>
        <w:spacing w:line="30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学院制定了《毕业生就业工作方案》、《就业市场建设方案》、《就业工作考核办法》，以及201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年毕业生就业工作计划，将工作列入相关考核范围中，实现毕业生就业工作与责任考核、津贴和评优挂钩，形成了毕业生就业工作机制。</w:t>
      </w:r>
    </w:p>
    <w:p>
      <w:pPr>
        <w:widowControl/>
        <w:spacing w:line="300" w:lineRule="atLeast"/>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学院有挂牌的就业指导教研室，党委副书记田清旺担任教研室主任，就业专干杨川担任办公室主任，就业指导老师高静波为专职任课教师，各系主任为兼职任课教师。教研室牵头组建了由我院的博士、教授、副教授任指导老师的毕业生考研辅导小组</w:t>
      </w:r>
      <w:r>
        <w:rPr>
          <w:rFonts w:hint="eastAsia" w:ascii="仿宋" w:hAnsi="仿宋" w:eastAsia="仿宋" w:cs="仿宋"/>
          <w:color w:val="000000"/>
          <w:kern w:val="0"/>
          <w:sz w:val="32"/>
          <w:szCs w:val="32"/>
          <w:shd w:val="clear" w:color="auto" w:fill="FFFFFF"/>
          <w:lang w:eastAsia="zh-CN"/>
        </w:rPr>
        <w:t>，并</w:t>
      </w:r>
      <w:r>
        <w:rPr>
          <w:rFonts w:hint="eastAsia" w:ascii="仿宋" w:hAnsi="仿宋" w:eastAsia="仿宋" w:cs="仿宋"/>
          <w:color w:val="000000"/>
          <w:kern w:val="0"/>
          <w:sz w:val="32"/>
          <w:szCs w:val="32"/>
          <w:shd w:val="clear" w:color="auto" w:fill="FFFFFF"/>
        </w:rPr>
        <w:t>出台了《学生考研指导奖励办法》</w:t>
      </w:r>
      <w:r>
        <w:rPr>
          <w:rFonts w:hint="eastAsia" w:ascii="仿宋" w:hAnsi="仿宋" w:eastAsia="仿宋" w:cs="仿宋"/>
          <w:color w:val="000000"/>
          <w:kern w:val="0"/>
          <w:sz w:val="32"/>
          <w:szCs w:val="32"/>
          <w:shd w:val="clear" w:color="auto" w:fill="FFFFFF"/>
          <w:lang w:eastAsia="zh-CN"/>
        </w:rPr>
        <w:t>；同时，教研室针对考研复习采取一系列鼓励措施：一是购买了高数、政治、英语三门课程的复习视频，进行统一学习；二是暑期为同学们准备了一间考研自习室，空调全程开放，自饮水免费提供；三是特邀湖南科技大学教授为同学们进行政治理论课复习辅导。</w:t>
      </w:r>
      <w:r>
        <w:rPr>
          <w:rFonts w:hint="eastAsia" w:ascii="仿宋" w:hAnsi="仿宋" w:eastAsia="仿宋" w:cs="仿宋"/>
          <w:color w:val="000000"/>
          <w:kern w:val="0"/>
          <w:sz w:val="32"/>
          <w:szCs w:val="32"/>
          <w:shd w:val="clear" w:color="auto" w:fill="FFFFFF"/>
          <w:lang w:val="en-US" w:eastAsia="zh-CN"/>
        </w:rPr>
        <w:t>2017年2013级毕业生考研率为11.9%，比去年增长了4.6%。</w:t>
      </w:r>
    </w:p>
    <w:p>
      <w:pPr>
        <w:widowControl/>
        <w:spacing w:line="300" w:lineRule="atLeas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学院坚持就业创业工作全员化。广泛动员就业创业工作专职人员、辅导员、任课教师及其他教职员工，积极服务毕业生就业工作，不断提高毕业生就业工作的覆盖面和影</w:t>
      </w:r>
      <w:r>
        <w:rPr>
          <w:rFonts w:hint="eastAsia" w:ascii="仿宋" w:hAnsi="仿宋" w:eastAsia="仿宋" w:cs="仿宋"/>
          <w:color w:val="000000"/>
          <w:kern w:val="0"/>
          <w:sz w:val="32"/>
          <w:szCs w:val="32"/>
          <w:shd w:val="clear" w:color="auto" w:fill="FFFFFF"/>
          <w:lang w:eastAsia="zh-CN"/>
        </w:rPr>
        <w:t>响</w:t>
      </w:r>
      <w:r>
        <w:rPr>
          <w:rFonts w:hint="eastAsia" w:ascii="仿宋" w:hAnsi="仿宋" w:eastAsia="仿宋" w:cs="仿宋"/>
          <w:color w:val="000000"/>
          <w:kern w:val="0"/>
          <w:sz w:val="32"/>
          <w:szCs w:val="32"/>
          <w:shd w:val="clear" w:color="auto" w:fill="FFFFFF"/>
        </w:rPr>
        <w:t>力。学院领导主动出任毕业生就业创业导师，在毕业生离校前的就业动员大会上，以亲身经历、经验为案例，对全体毕业生作就业创业教育；专业教师及就业指导教师结合就业岗位要求及就业形势，全力指导毕业生就业；全体教职工在就业指导中心的指导下充分利用自己的社会资源，为毕业生找岗位，竭尽全力帮扶贫困学生就业。</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118" w:name="_Toc16874"/>
      <w:bookmarkStart w:id="119" w:name="_Toc9223"/>
      <w:bookmarkStart w:id="120" w:name="_Toc21567"/>
      <w:r>
        <w:rPr>
          <w:rFonts w:hint="eastAsia"/>
        </w:rPr>
        <w:t>（二）创新人才培养模式，提</w:t>
      </w:r>
      <w:r>
        <w:rPr>
          <w:rFonts w:hint="eastAsia"/>
          <w:lang w:eastAsia="zh-CN"/>
        </w:rPr>
        <w:t>供</w:t>
      </w:r>
      <w:r>
        <w:rPr>
          <w:rFonts w:hint="eastAsia"/>
        </w:rPr>
        <w:t>优质高效就业创业服务</w:t>
      </w:r>
      <w:bookmarkEnd w:id="118"/>
      <w:bookmarkEnd w:id="119"/>
      <w:bookmarkEnd w:id="120"/>
    </w:p>
    <w:p>
      <w:pPr>
        <w:keepNext w:val="0"/>
        <w:keepLines w:val="0"/>
        <w:widowControl/>
        <w:suppressLineNumbers w:val="0"/>
        <w:ind w:firstLine="640"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000000"/>
          <w:kern w:val="0"/>
          <w:sz w:val="32"/>
          <w:szCs w:val="32"/>
          <w:shd w:val="clear" w:color="auto" w:fill="FFFFFF"/>
        </w:rPr>
        <w:t>学院创新了“校企合作、定向培养”的人才培养模式，建立了固定的实习、就业基地，201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年与上海杰普软件实训基地、长沙蓝狐网络就业实训基地、长沙达内软件有限公司、北京千锋互联科技有限公司、长沙拓建信息科技有限公司、</w:t>
      </w:r>
      <w:r>
        <w:rPr>
          <w:rFonts w:hint="eastAsia" w:ascii="仿宋" w:hAnsi="仿宋" w:eastAsia="仿宋" w:cs="仿宋"/>
          <w:color w:val="000000"/>
          <w:kern w:val="0"/>
          <w:sz w:val="32"/>
          <w:szCs w:val="32"/>
          <w:shd w:val="clear" w:color="auto" w:fill="FFFFFF"/>
          <w:lang w:eastAsia="zh-CN"/>
        </w:rPr>
        <w:t>湖南怀化恒光电子集团有限公司洪江市分公司</w:t>
      </w:r>
      <w:r>
        <w:rPr>
          <w:rFonts w:hint="eastAsia" w:ascii="仿宋" w:hAnsi="仿宋" w:eastAsia="仿宋" w:cs="仿宋"/>
          <w:color w:val="000000"/>
          <w:kern w:val="0"/>
          <w:sz w:val="32"/>
          <w:szCs w:val="32"/>
          <w:shd w:val="clear" w:color="auto" w:fill="FFFFFF"/>
        </w:rPr>
        <w:t>、怀化建南机器厂有限公司、马尔斯数码技术(深圳)有限公司、深圳信</w:t>
      </w:r>
      <w:r>
        <w:rPr>
          <w:rFonts w:hint="eastAsia" w:ascii="仿宋" w:hAnsi="仿宋" w:eastAsia="仿宋" w:cs="仿宋"/>
          <w:color w:val="auto"/>
          <w:kern w:val="0"/>
          <w:sz w:val="32"/>
          <w:szCs w:val="32"/>
          <w:shd w:val="clear" w:color="auto" w:fill="FFFFFF"/>
        </w:rPr>
        <w:t>盈达科技有限公司等</w:t>
      </w:r>
      <w:r>
        <w:rPr>
          <w:rFonts w:hint="eastAsia" w:ascii="仿宋" w:hAnsi="仿宋" w:eastAsia="仿宋" w:cs="仿宋"/>
          <w:color w:val="auto"/>
          <w:kern w:val="0"/>
          <w:sz w:val="32"/>
          <w:szCs w:val="32"/>
          <w:shd w:val="clear" w:color="auto" w:fill="FFFFFF"/>
          <w:lang w:val="en-US" w:eastAsia="zh-CN"/>
        </w:rPr>
        <w:t>9</w:t>
      </w:r>
      <w:r>
        <w:rPr>
          <w:rFonts w:hint="eastAsia" w:ascii="仿宋" w:hAnsi="仿宋" w:eastAsia="仿宋" w:cs="仿宋"/>
          <w:color w:val="auto"/>
          <w:kern w:val="0"/>
          <w:sz w:val="32"/>
          <w:szCs w:val="32"/>
          <w:shd w:val="clear" w:color="auto" w:fill="FFFFFF"/>
        </w:rPr>
        <w:t>家实习基地和就业基地签约。</w:t>
      </w:r>
      <w:r>
        <w:rPr>
          <w:rFonts w:hint="eastAsia" w:ascii="仿宋" w:hAnsi="仿宋" w:eastAsia="仿宋" w:cs="仿宋"/>
          <w:color w:val="auto"/>
          <w:kern w:val="0"/>
          <w:sz w:val="32"/>
          <w:szCs w:val="32"/>
          <w:shd w:val="clear" w:color="auto" w:fill="FFFFFF"/>
          <w:lang w:eastAsia="zh-CN"/>
        </w:rPr>
        <w:t>其中，与</w:t>
      </w:r>
      <w:r>
        <w:rPr>
          <w:rFonts w:hint="eastAsia" w:ascii="仿宋" w:hAnsi="仿宋" w:eastAsia="仿宋" w:cs="仿宋"/>
          <w:color w:val="000000"/>
          <w:kern w:val="0"/>
          <w:sz w:val="32"/>
          <w:szCs w:val="32"/>
          <w:shd w:val="clear" w:color="auto" w:fill="FFFFFF"/>
        </w:rPr>
        <w:t>达内软件有限公司</w:t>
      </w:r>
      <w:r>
        <w:rPr>
          <w:rFonts w:hint="eastAsia" w:ascii="仿宋" w:hAnsi="仿宋" w:eastAsia="仿宋" w:cs="仿宋"/>
          <w:color w:val="000000"/>
          <w:kern w:val="0"/>
          <w:sz w:val="32"/>
          <w:szCs w:val="32"/>
          <w:shd w:val="clear" w:color="auto" w:fill="FFFFFF"/>
          <w:lang w:eastAsia="zh-CN"/>
        </w:rPr>
        <w:t>建成</w:t>
      </w:r>
      <w:r>
        <w:rPr>
          <w:rFonts w:hint="eastAsia" w:ascii="仿宋" w:hAnsi="仿宋" w:eastAsia="仿宋" w:cs="仿宋"/>
          <w:color w:val="000000"/>
          <w:kern w:val="0"/>
          <w:sz w:val="32"/>
          <w:szCs w:val="32"/>
          <w:shd w:val="clear" w:color="auto" w:fill="FFFFFF"/>
          <w:lang w:val="en-US" w:eastAsia="zh-CN"/>
        </w:rPr>
        <w:t>湖南省校企合作创新创业教育基地。</w:t>
      </w:r>
      <w:r>
        <w:rPr>
          <w:rFonts w:hint="eastAsia" w:ascii="仿宋" w:hAnsi="仿宋" w:eastAsia="仿宋" w:cs="仿宋"/>
          <w:color w:val="auto"/>
          <w:kern w:val="0"/>
          <w:sz w:val="32"/>
          <w:szCs w:val="32"/>
          <w:shd w:val="clear" w:color="auto" w:fill="FFFFFF"/>
        </w:rPr>
        <w:t>201</w:t>
      </w:r>
      <w:r>
        <w:rPr>
          <w:rFonts w:hint="eastAsia" w:ascii="仿宋" w:hAnsi="仿宋" w:eastAsia="仿宋" w:cs="仿宋"/>
          <w:color w:val="auto"/>
          <w:kern w:val="0"/>
          <w:sz w:val="32"/>
          <w:szCs w:val="32"/>
          <w:shd w:val="clear" w:color="auto" w:fill="FFFFFF"/>
          <w:lang w:val="en-US" w:eastAsia="zh-CN"/>
        </w:rPr>
        <w:t>7</w:t>
      </w:r>
      <w:r>
        <w:rPr>
          <w:rFonts w:hint="eastAsia" w:ascii="仿宋" w:hAnsi="仿宋" w:eastAsia="仿宋" w:cs="仿宋"/>
          <w:color w:val="auto"/>
          <w:kern w:val="0"/>
          <w:sz w:val="32"/>
          <w:szCs w:val="32"/>
          <w:shd w:val="clear" w:color="auto" w:fill="FFFFFF"/>
        </w:rPr>
        <w:t>年</w:t>
      </w:r>
      <w:r>
        <w:rPr>
          <w:rFonts w:hint="eastAsia" w:ascii="仿宋" w:hAnsi="仿宋" w:eastAsia="仿宋" w:cs="仿宋"/>
          <w:color w:val="auto"/>
          <w:kern w:val="0"/>
          <w:sz w:val="32"/>
          <w:szCs w:val="32"/>
          <w:shd w:val="clear" w:color="auto" w:fill="FFFFFF"/>
          <w:lang w:val="en-US" w:eastAsia="zh-CN"/>
        </w:rPr>
        <w:t>3月和11</w:t>
      </w:r>
      <w:r>
        <w:rPr>
          <w:rFonts w:hint="eastAsia" w:ascii="仿宋" w:hAnsi="仿宋" w:eastAsia="仿宋" w:cs="仿宋"/>
          <w:color w:val="auto"/>
          <w:kern w:val="0"/>
          <w:sz w:val="32"/>
          <w:szCs w:val="32"/>
          <w:shd w:val="clear" w:color="auto" w:fill="FFFFFF"/>
        </w:rPr>
        <w:t>月</w:t>
      </w:r>
      <w:r>
        <w:rPr>
          <w:rFonts w:hint="eastAsia" w:ascii="仿宋" w:hAnsi="仿宋" w:eastAsia="仿宋" w:cs="仿宋"/>
          <w:color w:val="auto"/>
          <w:kern w:val="0"/>
          <w:sz w:val="32"/>
          <w:szCs w:val="32"/>
          <w:shd w:val="clear" w:color="auto" w:fill="FFFFFF"/>
          <w:lang w:eastAsia="zh-CN"/>
        </w:rPr>
        <w:t>，分别</w:t>
      </w:r>
      <w:r>
        <w:rPr>
          <w:rFonts w:hint="eastAsia" w:ascii="仿宋" w:hAnsi="仿宋" w:eastAsia="仿宋" w:cs="仿宋"/>
          <w:color w:val="auto"/>
          <w:kern w:val="0"/>
          <w:sz w:val="32"/>
          <w:szCs w:val="32"/>
          <w:shd w:val="clear" w:color="auto" w:fill="FFFFFF"/>
        </w:rPr>
        <w:t>组织</w:t>
      </w:r>
      <w:r>
        <w:rPr>
          <w:rFonts w:hint="eastAsia" w:ascii="仿宋" w:hAnsi="仿宋" w:eastAsia="仿宋" w:cs="仿宋"/>
          <w:color w:val="auto"/>
          <w:kern w:val="0"/>
          <w:sz w:val="32"/>
          <w:szCs w:val="32"/>
          <w:shd w:val="clear" w:color="auto" w:fill="FFFFFF"/>
          <w:lang w:val="en-US" w:eastAsia="zh-CN"/>
        </w:rPr>
        <w:t>2015级学生和</w:t>
      </w:r>
      <w:r>
        <w:rPr>
          <w:rFonts w:hint="eastAsia" w:ascii="仿宋" w:hAnsi="仿宋" w:eastAsia="仿宋" w:cs="仿宋"/>
          <w:color w:val="auto"/>
          <w:kern w:val="0"/>
          <w:sz w:val="32"/>
          <w:szCs w:val="32"/>
          <w:shd w:val="clear" w:color="auto" w:fill="FFFFFF"/>
        </w:rPr>
        <w:t>201</w:t>
      </w:r>
      <w:r>
        <w:rPr>
          <w:rFonts w:hint="eastAsia" w:ascii="仿宋" w:hAnsi="仿宋" w:eastAsia="仿宋" w:cs="仿宋"/>
          <w:color w:val="auto"/>
          <w:kern w:val="0"/>
          <w:sz w:val="32"/>
          <w:szCs w:val="32"/>
          <w:shd w:val="clear" w:color="auto" w:fill="FFFFFF"/>
          <w:lang w:val="en-US" w:eastAsia="zh-CN"/>
        </w:rPr>
        <w:t>4</w:t>
      </w:r>
      <w:r>
        <w:rPr>
          <w:rFonts w:hint="eastAsia" w:ascii="仿宋" w:hAnsi="仿宋" w:eastAsia="仿宋" w:cs="仿宋"/>
          <w:color w:val="auto"/>
          <w:kern w:val="0"/>
          <w:sz w:val="32"/>
          <w:szCs w:val="32"/>
          <w:shd w:val="clear" w:color="auto" w:fill="FFFFFF"/>
        </w:rPr>
        <w:t>级学生分批次赴签约基地进行</w:t>
      </w:r>
      <w:r>
        <w:rPr>
          <w:rFonts w:hint="eastAsia" w:ascii="仿宋" w:hAnsi="仿宋" w:eastAsia="仿宋" w:cs="仿宋"/>
          <w:color w:val="auto"/>
          <w:kern w:val="0"/>
          <w:sz w:val="32"/>
          <w:szCs w:val="32"/>
          <w:shd w:val="clear" w:color="auto" w:fill="FFFFFF"/>
          <w:lang w:eastAsia="zh-CN"/>
        </w:rPr>
        <w:t>综合见习和</w:t>
      </w:r>
      <w:r>
        <w:rPr>
          <w:rFonts w:hint="eastAsia" w:ascii="仿宋" w:hAnsi="仿宋" w:eastAsia="仿宋" w:cs="仿宋"/>
          <w:color w:val="auto"/>
          <w:kern w:val="0"/>
          <w:sz w:val="32"/>
          <w:szCs w:val="32"/>
          <w:shd w:val="clear" w:color="auto" w:fill="FFFFFF"/>
        </w:rPr>
        <w:t>毕业实习。组织发动毕业生参加职业资格认证考试，全年共有</w:t>
      </w:r>
      <w:r>
        <w:rPr>
          <w:rFonts w:hint="eastAsia" w:ascii="仿宋" w:hAnsi="仿宋" w:eastAsia="仿宋" w:cs="仿宋"/>
          <w:color w:val="auto"/>
          <w:kern w:val="0"/>
          <w:sz w:val="32"/>
          <w:szCs w:val="32"/>
          <w:shd w:val="clear" w:color="auto" w:fill="FFFFFF"/>
          <w:lang w:val="en-US" w:eastAsia="zh-CN"/>
        </w:rPr>
        <w:t>80余</w:t>
      </w:r>
      <w:r>
        <w:rPr>
          <w:rFonts w:hint="eastAsia" w:ascii="仿宋" w:hAnsi="仿宋" w:eastAsia="仿宋" w:cs="仿宋"/>
          <w:color w:val="auto"/>
          <w:kern w:val="0"/>
          <w:sz w:val="32"/>
          <w:szCs w:val="32"/>
          <w:shd w:val="clear" w:color="auto" w:fill="FFFFFF"/>
        </w:rPr>
        <w:t>名毕业生获得计算机网络管理员职业资格证。</w:t>
      </w:r>
    </w:p>
    <w:p>
      <w:pPr>
        <w:widowControl/>
        <w:spacing w:line="300" w:lineRule="atLeast"/>
        <w:ind w:firstLine="560"/>
        <w:jc w:val="left"/>
        <w:rPr>
          <w:rFonts w:hint="eastAsia" w:ascii="仿宋" w:hAnsi="仿宋" w:eastAsia="仿宋" w:cs="仿宋"/>
          <w:color w:val="FF0000"/>
          <w:kern w:val="0"/>
          <w:sz w:val="32"/>
          <w:szCs w:val="32"/>
          <w:shd w:val="clear" w:color="auto" w:fill="FFFFFF"/>
          <w:lang w:eastAsia="zh-CN"/>
        </w:rPr>
      </w:pPr>
      <w:r>
        <w:rPr>
          <w:rFonts w:hint="eastAsia" w:ascii="仿宋" w:hAnsi="仿宋" w:eastAsia="仿宋" w:cs="仿宋"/>
          <w:color w:val="auto"/>
          <w:kern w:val="0"/>
          <w:sz w:val="32"/>
          <w:szCs w:val="32"/>
          <w:shd w:val="clear" w:color="auto" w:fill="FFFFFF"/>
          <w:lang w:eastAsia="zh-CN"/>
        </w:rPr>
        <w:t>个性化就业创业服务指导。我院针对毕业生个性化需要从三个方面开展就业创业服务：一是</w:t>
      </w:r>
      <w:r>
        <w:rPr>
          <w:rFonts w:hint="eastAsia" w:ascii="仿宋" w:hAnsi="仿宋" w:eastAsia="仿宋" w:cs="仿宋"/>
          <w:color w:val="000000"/>
          <w:kern w:val="0"/>
          <w:sz w:val="32"/>
          <w:szCs w:val="32"/>
          <w:shd w:val="clear" w:color="auto" w:fill="FFFFFF"/>
        </w:rPr>
        <w:t>教研室根据毕业生需求开展就业咨询与服务，有记录，有总结，有分析</w:t>
      </w:r>
      <w:r>
        <w:rPr>
          <w:rFonts w:hint="eastAsia" w:ascii="仿宋" w:hAnsi="仿宋" w:eastAsia="仿宋" w:cs="仿宋"/>
          <w:color w:val="000000"/>
          <w:kern w:val="0"/>
          <w:sz w:val="32"/>
          <w:szCs w:val="32"/>
          <w:shd w:val="clear" w:color="auto" w:fill="FFFFFF"/>
          <w:lang w:eastAsia="zh-CN"/>
        </w:rPr>
        <w:t>；二是系统性就业创业服务指导；我院专门邀请了杭州怀致科技有限公司的专业团队召开了为期半个月分班分专业分求职方向的个性化就业创业培训活动，内容涵盖就业意向调查、简历制作、面试技巧的传授、求职模拟演练等各个环节，有力地促进了毕业生求职的主动性和积极性；三是特殊群体的“一对一”帮扶；针对家庭困难、少数民族、农村生源等毕业生，不仅建立特殊群体毕业生就业工作台账，还搭建了“一对一”帮扶平台。</w:t>
      </w:r>
    </w:p>
    <w:p>
      <w:pPr>
        <w:widowControl/>
        <w:spacing w:line="300" w:lineRule="atLeas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积极拓展就业市场。201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年，在稳定原有市场的基础上，积极拓宽就业新市场。一是连续</w:t>
      </w:r>
      <w:r>
        <w:rPr>
          <w:rFonts w:hint="eastAsia" w:ascii="仿宋" w:hAnsi="仿宋" w:eastAsia="仿宋" w:cs="仿宋"/>
          <w:color w:val="000000"/>
          <w:kern w:val="0"/>
          <w:sz w:val="32"/>
          <w:szCs w:val="32"/>
          <w:shd w:val="clear" w:color="auto" w:fill="FFFFFF"/>
          <w:lang w:eastAsia="zh-CN"/>
        </w:rPr>
        <w:t>四</w:t>
      </w:r>
      <w:r>
        <w:rPr>
          <w:rFonts w:hint="eastAsia" w:ascii="仿宋" w:hAnsi="仿宋" w:eastAsia="仿宋" w:cs="仿宋"/>
          <w:color w:val="000000"/>
          <w:kern w:val="0"/>
          <w:sz w:val="32"/>
          <w:szCs w:val="32"/>
          <w:shd w:val="clear" w:color="auto" w:fill="FFFFFF"/>
        </w:rPr>
        <w:t>年与中国联通湖南省公司挂牌合作共建人才培养基地，201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年，我院</w:t>
      </w:r>
      <w:r>
        <w:rPr>
          <w:rFonts w:hint="eastAsia" w:ascii="仿宋" w:hAnsi="仿宋" w:eastAsia="仿宋" w:cs="仿宋"/>
          <w:color w:val="auto"/>
          <w:kern w:val="0"/>
          <w:sz w:val="32"/>
          <w:szCs w:val="32"/>
          <w:shd w:val="clear" w:color="auto" w:fill="FFFFFF"/>
        </w:rPr>
        <w:t>201</w:t>
      </w:r>
      <w:r>
        <w:rPr>
          <w:rFonts w:hint="eastAsia" w:ascii="仿宋" w:hAnsi="仿宋" w:eastAsia="仿宋" w:cs="仿宋"/>
          <w:color w:val="auto"/>
          <w:kern w:val="0"/>
          <w:sz w:val="32"/>
          <w:szCs w:val="32"/>
          <w:shd w:val="clear" w:color="auto" w:fill="FFFFFF"/>
          <w:lang w:val="en-US" w:eastAsia="zh-CN"/>
        </w:rPr>
        <w:t>4</w:t>
      </w:r>
      <w:r>
        <w:rPr>
          <w:rFonts w:hint="eastAsia" w:ascii="仿宋" w:hAnsi="仿宋" w:eastAsia="仿宋" w:cs="仿宋"/>
          <w:color w:val="auto"/>
          <w:kern w:val="0"/>
          <w:sz w:val="32"/>
          <w:szCs w:val="32"/>
          <w:shd w:val="clear" w:color="auto" w:fill="FFFFFF"/>
        </w:rPr>
        <w:t>级有</w:t>
      </w:r>
      <w:r>
        <w:rPr>
          <w:rFonts w:hint="eastAsia" w:ascii="仿宋" w:hAnsi="仿宋" w:eastAsia="仿宋" w:cs="仿宋"/>
          <w:color w:val="auto"/>
          <w:kern w:val="0"/>
          <w:sz w:val="32"/>
          <w:szCs w:val="32"/>
          <w:shd w:val="clear" w:color="auto" w:fill="FFFFFF"/>
          <w:lang w:val="en-US" w:eastAsia="zh-CN"/>
        </w:rPr>
        <w:t>11</w:t>
      </w:r>
      <w:r>
        <w:rPr>
          <w:rFonts w:hint="eastAsia" w:ascii="仿宋" w:hAnsi="仿宋" w:eastAsia="仿宋" w:cs="仿宋"/>
          <w:color w:val="auto"/>
          <w:kern w:val="0"/>
          <w:sz w:val="32"/>
          <w:szCs w:val="32"/>
          <w:shd w:val="clear" w:color="auto" w:fill="FFFFFF"/>
        </w:rPr>
        <w:t>名同学</w:t>
      </w:r>
      <w:r>
        <w:rPr>
          <w:rFonts w:hint="eastAsia" w:ascii="仿宋" w:hAnsi="仿宋" w:eastAsia="仿宋" w:cs="仿宋"/>
          <w:color w:val="auto"/>
          <w:kern w:val="0"/>
          <w:sz w:val="32"/>
          <w:szCs w:val="32"/>
          <w:shd w:val="clear" w:color="auto" w:fill="FFFFFF"/>
          <w:lang w:eastAsia="zh-CN"/>
        </w:rPr>
        <w:t>拟录</w:t>
      </w:r>
      <w:r>
        <w:rPr>
          <w:rFonts w:hint="eastAsia" w:ascii="仿宋" w:hAnsi="仿宋" w:eastAsia="仿宋" w:cs="仿宋"/>
          <w:color w:val="auto"/>
          <w:kern w:val="0"/>
          <w:sz w:val="32"/>
          <w:szCs w:val="32"/>
          <w:shd w:val="clear" w:color="auto" w:fill="FFFFFF"/>
        </w:rPr>
        <w:t>入“联通定向班”。二是对在校生、毕业生及用人单位开展调查走访，先后组织2批</w:t>
      </w:r>
      <w:r>
        <w:rPr>
          <w:rFonts w:hint="eastAsia" w:ascii="仿宋" w:hAnsi="仿宋" w:eastAsia="仿宋" w:cs="仿宋"/>
          <w:color w:val="auto"/>
          <w:kern w:val="0"/>
          <w:sz w:val="32"/>
          <w:szCs w:val="32"/>
          <w:shd w:val="clear" w:color="auto" w:fill="FFFFFF"/>
          <w:lang w:val="en-US" w:eastAsia="zh-CN"/>
        </w:rPr>
        <w:t>2</w:t>
      </w:r>
      <w:r>
        <w:rPr>
          <w:rFonts w:hint="eastAsia" w:ascii="仿宋" w:hAnsi="仿宋" w:eastAsia="仿宋" w:cs="仿宋"/>
          <w:color w:val="auto"/>
          <w:kern w:val="0"/>
          <w:sz w:val="32"/>
          <w:szCs w:val="32"/>
          <w:shd w:val="clear" w:color="auto" w:fill="FFFFFF"/>
        </w:rPr>
        <w:t>人次赴</w:t>
      </w:r>
      <w:r>
        <w:rPr>
          <w:rFonts w:hint="eastAsia" w:ascii="仿宋" w:hAnsi="仿宋" w:eastAsia="仿宋" w:cs="仿宋"/>
          <w:color w:val="auto"/>
          <w:kern w:val="0"/>
          <w:sz w:val="32"/>
          <w:szCs w:val="32"/>
          <w:shd w:val="clear" w:color="auto" w:fill="FFFFFF"/>
          <w:lang w:eastAsia="zh-CN"/>
        </w:rPr>
        <w:t>东三省</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eastAsia="zh-CN"/>
        </w:rPr>
        <w:t>长</w:t>
      </w:r>
      <w:r>
        <w:rPr>
          <w:rFonts w:hint="eastAsia" w:ascii="仿宋" w:hAnsi="仿宋" w:eastAsia="仿宋" w:cs="仿宋"/>
          <w:color w:val="auto"/>
          <w:kern w:val="0"/>
          <w:sz w:val="32"/>
          <w:szCs w:val="32"/>
          <w:shd w:val="clear" w:color="auto" w:fill="FFFFFF"/>
        </w:rPr>
        <w:t>三角等地走访校友、参观企事业单位和实习基地，</w:t>
      </w:r>
      <w:r>
        <w:rPr>
          <w:rFonts w:hint="eastAsia" w:ascii="仿宋" w:hAnsi="仿宋" w:eastAsia="仿宋" w:cs="仿宋"/>
          <w:color w:val="000000"/>
          <w:kern w:val="0"/>
          <w:sz w:val="32"/>
          <w:szCs w:val="32"/>
          <w:shd w:val="clear" w:color="auto" w:fill="FFFFFF"/>
        </w:rPr>
        <w:t>了解各专业毕业生就业情况，了解用人单位对毕业生的满意情况，并完成考察报告。面向201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届毕业生开展了“毕业生对学院就业指导满意度调查”、“用人单位对毕业生满意度调查”、“毕业生就业跟踪调查”三项调研，并完成分析报告。三是举办“吉首大学信息科学与工程学院201</w:t>
      </w:r>
      <w:r>
        <w:rPr>
          <w:rFonts w:hint="eastAsia" w:ascii="仿宋" w:hAnsi="仿宋" w:eastAsia="仿宋" w:cs="仿宋"/>
          <w:color w:val="000000"/>
          <w:kern w:val="0"/>
          <w:sz w:val="32"/>
          <w:szCs w:val="32"/>
          <w:shd w:val="clear" w:color="auto" w:fill="FFFFFF"/>
          <w:lang w:val="en-US" w:eastAsia="zh-CN"/>
        </w:rPr>
        <w:t>8</w:t>
      </w:r>
      <w:r>
        <w:rPr>
          <w:rFonts w:hint="eastAsia" w:ascii="仿宋" w:hAnsi="仿宋" w:eastAsia="仿宋" w:cs="仿宋"/>
          <w:color w:val="000000"/>
          <w:kern w:val="0"/>
          <w:sz w:val="32"/>
          <w:szCs w:val="32"/>
          <w:shd w:val="clear" w:color="auto" w:fill="FFFFFF"/>
        </w:rPr>
        <w:t>届毕业生招聘月”活动，主动与用人单位联系，先后邀请了20</w:t>
      </w:r>
      <w:r>
        <w:rPr>
          <w:rFonts w:hint="eastAsia" w:ascii="仿宋" w:hAnsi="仿宋" w:eastAsia="仿宋" w:cs="仿宋"/>
          <w:color w:val="000000"/>
          <w:kern w:val="0"/>
          <w:sz w:val="32"/>
          <w:szCs w:val="32"/>
          <w:shd w:val="clear" w:color="auto" w:fill="FFFFFF"/>
          <w:lang w:eastAsia="zh-CN"/>
        </w:rPr>
        <w:t>余</w:t>
      </w:r>
      <w:r>
        <w:rPr>
          <w:rFonts w:hint="eastAsia" w:ascii="仿宋" w:hAnsi="仿宋" w:eastAsia="仿宋" w:cs="仿宋"/>
          <w:color w:val="000000"/>
          <w:kern w:val="0"/>
          <w:sz w:val="32"/>
          <w:szCs w:val="32"/>
          <w:shd w:val="clear" w:color="auto" w:fill="FFFFFF"/>
        </w:rPr>
        <w:t>家用人单位来校进行专场招聘会和宣讲会。</w:t>
      </w:r>
    </w:p>
    <w:p>
      <w:pPr>
        <w:widowControl/>
        <w:spacing w:line="300" w:lineRule="atLeas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完善</w:t>
      </w:r>
      <w:r>
        <w:rPr>
          <w:rFonts w:hint="eastAsia" w:ascii="仿宋" w:hAnsi="仿宋" w:eastAsia="仿宋" w:cs="仿宋"/>
          <w:color w:val="000000"/>
          <w:kern w:val="0"/>
          <w:sz w:val="32"/>
          <w:szCs w:val="32"/>
          <w:shd w:val="clear" w:color="auto" w:fill="FFFFFF"/>
        </w:rPr>
        <w:t>毕业生就业创业信息与服务工作。就业创业信息收集和发布工作常态化，链接了湖南省毕业生就业网等多家省</w:t>
      </w:r>
      <w:r>
        <w:rPr>
          <w:rFonts w:hint="eastAsia" w:ascii="仿宋" w:hAnsi="仿宋" w:eastAsia="仿宋" w:cs="仿宋"/>
          <w:color w:val="000000"/>
          <w:kern w:val="0"/>
          <w:sz w:val="32"/>
          <w:szCs w:val="32"/>
          <w:shd w:val="clear" w:color="auto" w:fill="FFFFFF"/>
          <w:lang w:eastAsia="zh-CN"/>
        </w:rPr>
        <w:t>通过</w:t>
      </w:r>
      <w:r>
        <w:rPr>
          <w:rFonts w:hint="eastAsia" w:ascii="仿宋" w:hAnsi="仿宋" w:eastAsia="仿宋" w:cs="仿宋"/>
          <w:color w:val="000000"/>
          <w:kern w:val="0"/>
          <w:sz w:val="32"/>
          <w:szCs w:val="32"/>
          <w:shd w:val="clear" w:color="auto" w:fill="FFFFFF"/>
        </w:rPr>
        <w:t>QQ群、微信、手机短信、学院网站“就业信息”栏目等信息公布平台，将就业创业最新政策和各类信息及时传递给每一位毕业生，为毕业生就业创业提供准确的政策指导和</w:t>
      </w:r>
      <w:r>
        <w:rPr>
          <w:rFonts w:hint="eastAsia" w:ascii="仿宋" w:hAnsi="仿宋" w:eastAsia="仿宋" w:cs="仿宋"/>
          <w:color w:val="auto"/>
          <w:kern w:val="0"/>
          <w:sz w:val="32"/>
          <w:szCs w:val="32"/>
          <w:shd w:val="clear" w:color="auto" w:fill="FFFFFF"/>
        </w:rPr>
        <w:t>充足的就业信息，实现了就业信息服务系统化、多样化。就业专干通过QQ群、手机短信、网站等媒介与各届毕业生长期保持联系。201</w:t>
      </w:r>
      <w:r>
        <w:rPr>
          <w:rFonts w:hint="eastAsia" w:ascii="仿宋" w:hAnsi="仿宋" w:eastAsia="仿宋" w:cs="仿宋"/>
          <w:color w:val="auto"/>
          <w:kern w:val="0"/>
          <w:sz w:val="32"/>
          <w:szCs w:val="32"/>
          <w:shd w:val="clear" w:color="auto" w:fill="FFFFFF"/>
          <w:lang w:val="en-US" w:eastAsia="zh-CN"/>
        </w:rPr>
        <w:t>7</w:t>
      </w:r>
      <w:r>
        <w:rPr>
          <w:rFonts w:hint="eastAsia" w:ascii="仿宋" w:hAnsi="仿宋" w:eastAsia="仿宋" w:cs="仿宋"/>
          <w:color w:val="auto"/>
          <w:kern w:val="0"/>
          <w:sz w:val="32"/>
          <w:szCs w:val="32"/>
          <w:shd w:val="clear" w:color="auto" w:fill="FFFFFF"/>
        </w:rPr>
        <w:t>年共发布</w:t>
      </w:r>
      <w:r>
        <w:rPr>
          <w:rFonts w:hint="eastAsia" w:ascii="仿宋" w:hAnsi="仿宋" w:eastAsia="仿宋" w:cs="仿宋"/>
          <w:color w:val="auto"/>
          <w:kern w:val="0"/>
          <w:sz w:val="32"/>
          <w:szCs w:val="32"/>
          <w:highlight w:val="none"/>
          <w:shd w:val="clear" w:color="auto" w:fill="FFFFFF"/>
          <w:lang w:val="en-US" w:eastAsia="zh-CN"/>
        </w:rPr>
        <w:t>52</w:t>
      </w:r>
      <w:r>
        <w:rPr>
          <w:rFonts w:hint="eastAsia" w:ascii="仿宋" w:hAnsi="仿宋" w:eastAsia="仿宋" w:cs="仿宋"/>
          <w:color w:val="auto"/>
          <w:kern w:val="0"/>
          <w:sz w:val="32"/>
          <w:szCs w:val="32"/>
          <w:shd w:val="clear" w:color="auto" w:fill="FFFFFF"/>
        </w:rPr>
        <w:t>家用人单位招聘信息，提供岗位</w:t>
      </w:r>
      <w:r>
        <w:rPr>
          <w:rFonts w:hint="eastAsia" w:ascii="仿宋" w:hAnsi="仿宋" w:eastAsia="仿宋" w:cs="仿宋"/>
          <w:color w:val="auto"/>
          <w:kern w:val="0"/>
          <w:sz w:val="32"/>
          <w:szCs w:val="32"/>
          <w:highlight w:val="none"/>
          <w:shd w:val="clear" w:color="auto" w:fill="FFFFFF"/>
        </w:rPr>
        <w:t>1000</w:t>
      </w:r>
      <w:r>
        <w:rPr>
          <w:rFonts w:hint="eastAsia" w:ascii="仿宋" w:hAnsi="仿宋" w:eastAsia="仿宋" w:cs="仿宋"/>
          <w:color w:val="auto"/>
          <w:kern w:val="0"/>
          <w:sz w:val="32"/>
          <w:szCs w:val="32"/>
          <w:shd w:val="clear" w:color="auto" w:fill="FFFFFF"/>
        </w:rPr>
        <w:t>余个，涉及计算机</w:t>
      </w:r>
      <w:r>
        <w:rPr>
          <w:rFonts w:hint="eastAsia" w:ascii="仿宋" w:hAnsi="仿宋" w:eastAsia="仿宋" w:cs="仿宋"/>
          <w:color w:val="auto"/>
          <w:kern w:val="0"/>
          <w:sz w:val="32"/>
          <w:szCs w:val="32"/>
          <w:shd w:val="clear" w:color="auto" w:fill="FFFFFF"/>
          <w:lang w:eastAsia="zh-CN"/>
        </w:rPr>
        <w:t>科学与技术</w:t>
      </w:r>
      <w:r>
        <w:rPr>
          <w:rFonts w:hint="eastAsia" w:ascii="仿宋" w:hAnsi="仿宋" w:eastAsia="仿宋" w:cs="仿宋"/>
          <w:color w:val="auto"/>
          <w:kern w:val="0"/>
          <w:sz w:val="32"/>
          <w:szCs w:val="32"/>
          <w:shd w:val="clear" w:color="auto" w:fill="FFFFFF"/>
        </w:rPr>
        <w:t>、通信工程、电气</w:t>
      </w:r>
      <w:r>
        <w:rPr>
          <w:rFonts w:hint="eastAsia" w:ascii="仿宋" w:hAnsi="仿宋" w:eastAsia="仿宋" w:cs="仿宋"/>
          <w:color w:val="auto"/>
          <w:kern w:val="0"/>
          <w:sz w:val="32"/>
          <w:szCs w:val="32"/>
          <w:shd w:val="clear" w:color="auto" w:fill="FFFFFF"/>
          <w:lang w:eastAsia="zh-CN"/>
        </w:rPr>
        <w:t>工程及其</w:t>
      </w:r>
      <w:r>
        <w:rPr>
          <w:rFonts w:hint="eastAsia" w:ascii="仿宋" w:hAnsi="仿宋" w:eastAsia="仿宋" w:cs="仿宋"/>
          <w:color w:val="auto"/>
          <w:kern w:val="0"/>
          <w:sz w:val="32"/>
          <w:szCs w:val="32"/>
          <w:shd w:val="clear" w:color="auto" w:fill="FFFFFF"/>
        </w:rPr>
        <w:t>自动化、电子信息工程、网络工程等专业，这些均</w:t>
      </w:r>
      <w:r>
        <w:rPr>
          <w:rFonts w:hint="eastAsia" w:ascii="仿宋" w:hAnsi="仿宋" w:eastAsia="仿宋" w:cs="仿宋"/>
          <w:color w:val="000000"/>
          <w:kern w:val="0"/>
          <w:sz w:val="32"/>
          <w:szCs w:val="32"/>
          <w:shd w:val="clear" w:color="auto" w:fill="FFFFFF"/>
        </w:rPr>
        <w:t>为提高我院毕业生的就业率和就业质量起到了推动作用。</w:t>
      </w:r>
    </w:p>
    <w:p>
      <w:pPr>
        <w:widowControl/>
        <w:spacing w:line="300" w:lineRule="atLeas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积极引导和鼓励毕业生到基层就业。学院把基层就业作为就业指导课的一项重要内容，把面向基层就业的相关政策、信息及时传达给每个毕业生。</w:t>
      </w:r>
      <w:r>
        <w:rPr>
          <w:rFonts w:hint="eastAsia" w:ascii="仿宋" w:hAnsi="仿宋" w:eastAsia="仿宋" w:cs="仿宋"/>
          <w:color w:val="000000"/>
          <w:kern w:val="0"/>
          <w:sz w:val="32"/>
          <w:szCs w:val="32"/>
          <w:shd w:val="clear" w:color="auto" w:fill="FFFFFF"/>
          <w:lang w:eastAsia="zh-CN"/>
        </w:rPr>
        <w:t>在毕业生动员大会上，我院</w:t>
      </w:r>
      <w:r>
        <w:rPr>
          <w:rFonts w:hint="eastAsia" w:ascii="仿宋" w:hAnsi="仿宋" w:eastAsia="仿宋" w:cs="仿宋"/>
          <w:color w:val="000000"/>
          <w:kern w:val="0"/>
          <w:sz w:val="32"/>
          <w:szCs w:val="32"/>
          <w:shd w:val="clear" w:color="auto" w:fill="FFFFFF"/>
        </w:rPr>
        <w:t>党委副书记田清旺为毕业生宣传西部志愿者、农村特岗教师等国家鼓励大学生面向基层就业的相关政策。树立面向基层就业的典型，积极引导毕业生到西部地区、到民族地区、到基层等祖国最需要的地方去建功立业。</w:t>
      </w:r>
      <w:r>
        <w:rPr>
          <w:rFonts w:hint="eastAsia" w:ascii="仿宋" w:hAnsi="仿宋" w:eastAsia="仿宋" w:cs="仿宋"/>
          <w:kern w:val="0"/>
          <w:sz w:val="32"/>
          <w:szCs w:val="32"/>
          <w:shd w:val="clear" w:color="auto" w:fill="FFFFFF"/>
        </w:rPr>
        <w:t>201</w:t>
      </w:r>
      <w:r>
        <w:rPr>
          <w:rFonts w:hint="eastAsia" w:ascii="仿宋" w:hAnsi="仿宋" w:eastAsia="仿宋" w:cs="仿宋"/>
          <w:kern w:val="0"/>
          <w:sz w:val="32"/>
          <w:szCs w:val="32"/>
          <w:shd w:val="clear" w:color="auto" w:fill="FFFFFF"/>
          <w:lang w:val="en-US" w:eastAsia="zh-CN"/>
        </w:rPr>
        <w:t>8</w:t>
      </w:r>
      <w:r>
        <w:rPr>
          <w:rFonts w:hint="eastAsia" w:ascii="仿宋" w:hAnsi="仿宋" w:eastAsia="仿宋" w:cs="仿宋"/>
          <w:kern w:val="0"/>
          <w:sz w:val="32"/>
          <w:szCs w:val="32"/>
          <w:shd w:val="clear" w:color="auto" w:fill="FFFFFF"/>
        </w:rPr>
        <w:t>年，我院毕业生</w:t>
      </w:r>
      <w:r>
        <w:rPr>
          <w:rFonts w:ascii="仿宋" w:hAnsi="仿宋" w:eastAsia="仿宋" w:cs="仿宋"/>
          <w:kern w:val="0"/>
          <w:sz w:val="32"/>
          <w:szCs w:val="32"/>
          <w:shd w:val="clear" w:color="auto" w:fill="FFFFFF"/>
        </w:rPr>
        <w:t>积极</w:t>
      </w:r>
      <w:r>
        <w:rPr>
          <w:rFonts w:hint="eastAsia" w:ascii="仿宋" w:hAnsi="仿宋" w:eastAsia="仿宋" w:cs="仿宋"/>
          <w:color w:val="000000"/>
          <w:kern w:val="0"/>
          <w:sz w:val="32"/>
          <w:szCs w:val="32"/>
          <w:shd w:val="clear" w:color="auto" w:fill="FFFFFF"/>
        </w:rPr>
        <w:t>参与了大学生志愿服务西部计划项目。</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ascii="仿宋" w:hAnsi="仿宋" w:eastAsia="仿宋" w:cs="仿宋"/>
          <w:b/>
          <w:bCs/>
          <w:color w:val="000000"/>
          <w:kern w:val="0"/>
          <w:szCs w:val="32"/>
          <w:shd w:val="clear" w:color="auto" w:fill="FFFFFF"/>
        </w:rPr>
      </w:pPr>
      <w:bookmarkStart w:id="121" w:name="_Toc13152"/>
      <w:bookmarkStart w:id="122" w:name="_Toc31357"/>
      <w:bookmarkStart w:id="123" w:name="_Toc11833"/>
      <w:r>
        <w:rPr>
          <w:rFonts w:hint="eastAsia"/>
        </w:rPr>
        <w:t>（三）推进就业创业指导，构建完善的职业发展与就业创业教育体系</w:t>
      </w:r>
      <w:bookmarkEnd w:id="121"/>
      <w:bookmarkEnd w:id="122"/>
      <w:bookmarkEnd w:id="123"/>
    </w:p>
    <w:p>
      <w:pPr>
        <w:widowControl/>
        <w:spacing w:line="300" w:lineRule="atLeast"/>
        <w:ind w:firstLine="560"/>
        <w:jc w:val="left"/>
        <w:rPr>
          <w:rFonts w:hint="eastAsia" w:ascii="仿宋" w:hAnsi="仿宋" w:eastAsia="仿宋" w:cs="仿宋"/>
          <w:color w:val="000000"/>
          <w:kern w:val="0"/>
          <w:sz w:val="32"/>
          <w:szCs w:val="32"/>
          <w:highlight w:val="none"/>
          <w:shd w:val="clear" w:color="auto" w:fill="FFFFFF"/>
          <w:lang w:val="en-US" w:eastAsia="zh-CN" w:bidi="ar-SA"/>
        </w:rPr>
      </w:pPr>
      <w:r>
        <w:rPr>
          <w:rFonts w:hint="eastAsia" w:ascii="仿宋" w:hAnsi="仿宋" w:eastAsia="仿宋" w:cs="仿宋"/>
          <w:color w:val="000000"/>
          <w:kern w:val="0"/>
          <w:sz w:val="32"/>
          <w:szCs w:val="32"/>
          <w:shd w:val="clear" w:color="auto" w:fill="FFFFFF"/>
          <w:lang w:eastAsia="zh-CN"/>
        </w:rPr>
        <w:t>深入</w:t>
      </w:r>
      <w:r>
        <w:rPr>
          <w:rFonts w:hint="eastAsia" w:ascii="仿宋" w:hAnsi="仿宋" w:eastAsia="仿宋" w:cs="仿宋"/>
          <w:color w:val="000000"/>
          <w:kern w:val="0"/>
          <w:sz w:val="32"/>
          <w:szCs w:val="32"/>
          <w:shd w:val="clear" w:color="auto" w:fill="FFFFFF"/>
        </w:rPr>
        <w:t>开展创新创业教育。一是完善就业创业教育课程体系。学校面向全体学生开设了《创业基础》、《创业教育》、《大学生创业与人生规划》、《大学生就业中的权益保障》等23门课程创新创业课程；二是学院面向新生开设的课程专业导论，帮助学生认识专业特点及将来职业方向，增强学习专业的自觉性，确定努力方向和目标；使大学生职业规划以专业为导向，从入学开始抓起。三是积极开展大学生创新创业培训。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eastAsia="zh-CN"/>
        </w:rPr>
        <w:t>上半年</w:t>
      </w:r>
      <w:r>
        <w:rPr>
          <w:rFonts w:hint="eastAsia" w:ascii="仿宋" w:hAnsi="仿宋" w:eastAsia="仿宋" w:cs="仿宋"/>
          <w:color w:val="000000"/>
          <w:kern w:val="0"/>
          <w:sz w:val="32"/>
          <w:szCs w:val="32"/>
          <w:shd w:val="clear" w:color="auto" w:fill="FFFFFF"/>
        </w:rPr>
        <w:t>，学院开展了</w:t>
      </w:r>
      <w:r>
        <w:rPr>
          <w:rFonts w:hint="eastAsia" w:ascii="仿宋" w:hAnsi="仿宋" w:eastAsia="仿宋" w:cs="仿宋"/>
          <w:color w:val="000000"/>
          <w:kern w:val="0"/>
          <w:sz w:val="32"/>
          <w:szCs w:val="32"/>
          <w:shd w:val="clear" w:color="auto" w:fill="FFFFFF"/>
          <w:lang w:eastAsia="zh-CN"/>
        </w:rPr>
        <w:t>《带你认识商业模式画布》、《如何让你的创业项目赢得青睐》等</w:t>
      </w:r>
      <w:r>
        <w:rPr>
          <w:rFonts w:hint="eastAsia" w:ascii="仿宋" w:hAnsi="仿宋" w:eastAsia="仿宋" w:cs="仿宋"/>
          <w:color w:val="000000"/>
          <w:kern w:val="0"/>
          <w:sz w:val="32"/>
          <w:szCs w:val="32"/>
          <w:shd w:val="clear" w:color="auto" w:fill="FFFFFF"/>
        </w:rPr>
        <w:t>“互联网+”专题培训，培训学生达</w:t>
      </w:r>
      <w:r>
        <w:rPr>
          <w:rFonts w:hint="eastAsia" w:ascii="仿宋" w:hAnsi="仿宋" w:eastAsia="仿宋" w:cs="仿宋"/>
          <w:color w:val="auto"/>
          <w:kern w:val="0"/>
          <w:sz w:val="32"/>
          <w:szCs w:val="32"/>
          <w:shd w:val="clear" w:color="auto" w:fill="FFFFFF"/>
        </w:rPr>
        <w:t>100人次，</w:t>
      </w:r>
      <w:r>
        <w:rPr>
          <w:rFonts w:hint="eastAsia" w:ascii="仿宋" w:hAnsi="仿宋" w:eastAsia="仿宋" w:cs="仿宋"/>
          <w:color w:val="000000"/>
          <w:kern w:val="0"/>
          <w:sz w:val="32"/>
          <w:szCs w:val="32"/>
          <w:shd w:val="clear" w:color="auto" w:fill="FFFFFF"/>
        </w:rPr>
        <w:t>大学生创新创业意识</w:t>
      </w:r>
      <w:r>
        <w:rPr>
          <w:rFonts w:hint="eastAsia" w:ascii="仿宋" w:hAnsi="仿宋" w:eastAsia="仿宋" w:cs="仿宋"/>
          <w:color w:val="000000"/>
          <w:kern w:val="0"/>
          <w:sz w:val="32"/>
          <w:szCs w:val="32"/>
          <w:shd w:val="clear" w:color="auto" w:fill="FFFFFF"/>
          <w:lang w:eastAsia="zh-CN"/>
        </w:rPr>
        <w:t>逐渐增强</w:t>
      </w:r>
      <w:r>
        <w:rPr>
          <w:rFonts w:hint="eastAsia" w:ascii="仿宋" w:hAnsi="仿宋" w:eastAsia="仿宋" w:cs="仿宋"/>
          <w:color w:val="000000"/>
          <w:kern w:val="0"/>
          <w:sz w:val="32"/>
          <w:szCs w:val="32"/>
          <w:shd w:val="clear" w:color="auto" w:fill="FFFFFF"/>
        </w:rPr>
        <w:t>，大学生创新创业能力</w:t>
      </w:r>
      <w:r>
        <w:rPr>
          <w:rFonts w:hint="eastAsia" w:ascii="仿宋" w:hAnsi="仿宋" w:eastAsia="仿宋" w:cs="仿宋"/>
          <w:color w:val="000000"/>
          <w:kern w:val="0"/>
          <w:sz w:val="32"/>
          <w:szCs w:val="32"/>
          <w:shd w:val="clear" w:color="auto" w:fill="FFFFFF"/>
          <w:lang w:eastAsia="zh-CN"/>
        </w:rPr>
        <w:t>逐步提升</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highlight w:val="none"/>
          <w:shd w:val="clear" w:color="auto" w:fill="FFFFFF"/>
          <w:lang w:val="en-US" w:eastAsia="zh-CN" w:bidi="ar-SA"/>
        </w:rPr>
        <w:t>四是与长沙达内软件有限公司合作组建了校级“达内发现杯”就业创业协会。</w:t>
      </w:r>
    </w:p>
    <w:p>
      <w:pPr>
        <w:widowControl/>
        <w:spacing w:line="300" w:lineRule="atLeast"/>
        <w:ind w:firstLine="56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eastAsia="zh-CN"/>
        </w:rPr>
        <w:t>注重就业</w:t>
      </w:r>
      <w:r>
        <w:rPr>
          <w:rFonts w:hint="eastAsia" w:ascii="仿宋" w:hAnsi="仿宋" w:eastAsia="仿宋" w:cs="仿宋"/>
          <w:color w:val="000000"/>
          <w:kern w:val="0"/>
          <w:sz w:val="32"/>
          <w:szCs w:val="32"/>
          <w:shd w:val="clear" w:color="auto" w:fill="FFFFFF"/>
        </w:rPr>
        <w:t>创业师资队伍建设，</w:t>
      </w:r>
      <w:r>
        <w:rPr>
          <w:rFonts w:hint="eastAsia" w:ascii="仿宋" w:hAnsi="仿宋" w:eastAsia="仿宋" w:cs="仿宋"/>
          <w:color w:val="000000"/>
          <w:kern w:val="0"/>
          <w:sz w:val="32"/>
          <w:szCs w:val="32"/>
          <w:shd w:val="clear" w:color="auto" w:fill="FFFFFF"/>
          <w:lang w:eastAsia="zh-CN"/>
        </w:rPr>
        <w:t>致力于</w:t>
      </w:r>
      <w:r>
        <w:rPr>
          <w:rFonts w:hint="eastAsia" w:ascii="仿宋" w:hAnsi="仿宋" w:eastAsia="仿宋" w:cs="仿宋"/>
          <w:color w:val="000000"/>
          <w:kern w:val="0"/>
          <w:sz w:val="32"/>
          <w:szCs w:val="32"/>
          <w:shd w:val="clear" w:color="auto" w:fill="FFFFFF"/>
        </w:rPr>
        <w:t>培育一支专兼结合的师资队伍和创业指导专家团队。201</w:t>
      </w: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val="en-US" w:eastAsia="zh-CN"/>
        </w:rPr>
        <w:t>4月</w:t>
      </w:r>
      <w:r>
        <w:rPr>
          <w:rFonts w:hint="eastAsia" w:ascii="仿宋" w:hAnsi="仿宋" w:eastAsia="仿宋" w:cs="仿宋"/>
          <w:color w:val="000000"/>
          <w:kern w:val="0"/>
          <w:sz w:val="32"/>
          <w:szCs w:val="32"/>
          <w:shd w:val="clear" w:color="auto" w:fill="FFFFFF"/>
        </w:rPr>
        <w:t>，我院</w:t>
      </w:r>
      <w:r>
        <w:rPr>
          <w:rFonts w:hint="eastAsia" w:ascii="仿宋" w:hAnsi="仿宋" w:eastAsia="仿宋" w:cs="仿宋"/>
          <w:color w:val="000000"/>
          <w:kern w:val="0"/>
          <w:sz w:val="32"/>
          <w:szCs w:val="32"/>
          <w:shd w:val="clear" w:color="auto" w:fill="FFFFFF"/>
          <w:lang w:eastAsia="zh-CN"/>
        </w:rPr>
        <w:t>就业指导老师高静波获得湘西州创业培训师大赛一等奖；</w:t>
      </w:r>
      <w:r>
        <w:rPr>
          <w:rFonts w:hint="eastAsia" w:ascii="仿宋" w:hAnsi="仿宋" w:eastAsia="仿宋" w:cs="仿宋"/>
          <w:color w:val="000000"/>
          <w:kern w:val="0"/>
          <w:sz w:val="32"/>
          <w:szCs w:val="32"/>
          <w:shd w:val="clear" w:color="auto" w:fill="FFFFFF"/>
          <w:lang w:val="en-US" w:eastAsia="zh-CN"/>
        </w:rPr>
        <w:t>2017年7月，高静波老师代表湘西州前往长沙参加湖南省创业培训师大赛培训，并获得大赛优胜奖；2017年11月，高静波老师获得吉首大学首届就业指导课程教学大赛第一名。在培训和参赛的同时，我院特别重视</w:t>
      </w:r>
      <w:r>
        <w:rPr>
          <w:rFonts w:hint="eastAsia" w:ascii="仿宋" w:hAnsi="仿宋" w:eastAsia="仿宋" w:cs="仿宋"/>
          <w:color w:val="000000"/>
          <w:kern w:val="0"/>
          <w:sz w:val="32"/>
          <w:szCs w:val="32"/>
          <w:shd w:val="clear" w:color="auto" w:fill="FFFFFF"/>
          <w:lang w:eastAsia="zh-CN"/>
        </w:rPr>
        <w:t>就业</w:t>
      </w:r>
      <w:r>
        <w:rPr>
          <w:rFonts w:hint="eastAsia" w:ascii="仿宋" w:hAnsi="仿宋" w:eastAsia="仿宋" w:cs="仿宋"/>
          <w:color w:val="000000"/>
          <w:kern w:val="0"/>
          <w:sz w:val="32"/>
          <w:szCs w:val="32"/>
          <w:shd w:val="clear" w:color="auto" w:fill="FFFFFF"/>
        </w:rPr>
        <w:t>创业师资队伍</w:t>
      </w:r>
      <w:r>
        <w:rPr>
          <w:rFonts w:hint="eastAsia" w:ascii="仿宋" w:hAnsi="仿宋" w:eastAsia="仿宋" w:cs="仿宋"/>
          <w:color w:val="000000"/>
          <w:kern w:val="0"/>
          <w:sz w:val="32"/>
          <w:szCs w:val="32"/>
          <w:shd w:val="clear" w:color="auto" w:fill="FFFFFF"/>
          <w:lang w:eastAsia="zh-CN"/>
        </w:rPr>
        <w:t>科研能力的培养；</w:t>
      </w:r>
      <w:r>
        <w:rPr>
          <w:rFonts w:hint="eastAsia" w:ascii="仿宋" w:hAnsi="仿宋" w:eastAsia="仿宋" w:cs="仿宋"/>
          <w:color w:val="000000"/>
          <w:kern w:val="0"/>
          <w:sz w:val="32"/>
          <w:szCs w:val="32"/>
          <w:shd w:val="clear" w:color="auto" w:fill="FFFFFF"/>
          <w:lang w:val="en-US" w:eastAsia="zh-CN"/>
        </w:rPr>
        <w:t>2017年，我院就业专干杨川老师立项就业创业校级课题2项：《“互联网+”视野下大学生创新创业教育模式的探索》，《少数民族地区高校大学生创新创业文化在校园文化建设中的作用——以吉首大学为例》；2017年，学院共发表就业创业学术论文三篇：杨川老师的《高校大学生创新创业教育精准化的探索研究》，肖林老师的《培养西部地区研究生创新能力的初步探讨》，杨徉老师等人的《武陵山片区电气工程及其自动化专业实习实践基地建设校企合作模式探索》；</w:t>
      </w:r>
      <w:bookmarkStart w:id="130" w:name="_GoBack"/>
      <w:bookmarkEnd w:id="130"/>
      <w:r>
        <w:rPr>
          <w:rFonts w:hint="eastAsia" w:ascii="仿宋" w:hAnsi="仿宋" w:eastAsia="仿宋" w:cs="仿宋"/>
          <w:color w:val="000000"/>
          <w:kern w:val="0"/>
          <w:sz w:val="32"/>
          <w:szCs w:val="32"/>
          <w:shd w:val="clear" w:color="auto" w:fill="FFFFFF"/>
          <w:lang w:val="en-US" w:eastAsia="zh-CN"/>
        </w:rPr>
        <w:t>2017年，我院周恺卿老师被评为吉首大学第十二届“挑战杯”大学生课外学术科技竞赛“优秀指导老师”。</w:t>
      </w:r>
    </w:p>
    <w:p>
      <w:pPr>
        <w:widowControl/>
        <w:spacing w:line="300" w:lineRule="atLeas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lang w:eastAsia="zh-CN"/>
        </w:rPr>
        <w:t>积极组织参加创新创业大赛。院里通过举办或者承办创新创业大赛，培养学生的创业意识，锻炼学生的创业能力。</w:t>
      </w:r>
      <w:r>
        <w:rPr>
          <w:rFonts w:hint="eastAsia" w:ascii="仿宋" w:hAnsi="仿宋" w:eastAsia="仿宋" w:cs="仿宋"/>
          <w:color w:val="000000"/>
          <w:kern w:val="0"/>
          <w:sz w:val="32"/>
          <w:szCs w:val="32"/>
          <w:shd w:val="clear" w:color="auto" w:fill="FFFFFF"/>
          <w:lang w:val="en-US" w:eastAsia="zh-CN"/>
        </w:rPr>
        <w:t>2017年4月，我院举办了“达内杯”创新创业大赛，全院累计参赛项目41个，参赛人次200余人，其中“互联网+”项目27个，挑战杯项目14个；最终评选出特等奖2项、一等奖4项、二等奖6项、三等奖10项。2017年4月，我院承办吉首大学第三届“互联网+”大学生创新创业大赛，院级初选参赛项目37个，评选出8个项目参加校赛，最终由我院杨喜副院长、胡力老师、杨川老师指导的《绿创科技》荣获吉首大学第三届“互联网+”大学生创新创业大赛二等奖；由我院16级电子班朱志洋参与的项目《黄金茶枕》荣获湖南省第三届“互联网+”大学生创新创业大赛三等奖。2017年9月，在吉首大学第十二届“挑战杯”大学生课外学术科技竞赛中，我院荣获“优秀组织单位”，三个代表项目获得了一等奖1项、二等奖1项、三等奖1项，项目名称分别为《湘西地区特色农业扶贫模式及实现路径调查报告》、《简单方块苗文编辑系统》、《基于物联网温室植物培养的“生态圈”系统》；其中，由我院周恺卿老师指导的项目《全自动步态分析仪》获得第十二届“挑战杯”湖南省大学生课外学术科技竞赛二等奖；《湘西地区特色农业扶贫模式及实现路径调查报告》代表学校荣获湖南省第十二届“挑战杯”大学生课外学术科技竞赛三等奖。</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pPr>
      <w:bookmarkStart w:id="124" w:name="_Toc22904"/>
      <w:bookmarkStart w:id="125" w:name="_Toc8836"/>
      <w:bookmarkStart w:id="126" w:name="_Toc10660"/>
      <w:r>
        <w:rPr>
          <w:rFonts w:hint="eastAsia"/>
        </w:rPr>
        <w:t>（四）搭建学科竞赛平台，提升学生创新创业能力</w:t>
      </w:r>
      <w:bookmarkEnd w:id="124"/>
      <w:bookmarkEnd w:id="125"/>
      <w:bookmarkEnd w:id="126"/>
    </w:p>
    <w:p>
      <w:pPr>
        <w:keepNext w:val="0"/>
        <w:keepLines w:val="0"/>
        <w:widowControl/>
        <w:suppressLineNumbers w:val="0"/>
        <w:ind w:firstLine="640"/>
        <w:jc w:val="left"/>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rPr>
        <w:t>学院明确应用型人才培养定位，全面提高学生创新实践能力，积极搭建培养学生创新创业能力的学科竞赛平台。近几年，学院学科竞赛成绩逐年提升，学科竞赛已经成为学院人才培养工作的一大亮点</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学院的ACM程序设计工作室和电子科技与竞赛工作室不断走向成熟，2017年获得国家级奖励8项，其中一等奖2项，二等奖2项，三等奖1项，银奖1项，铜奖2项；（国家级奖项：2017年中国大学生程序设计竞赛-广西邀请赛铜奖2项；2017年中国大学生程序设计竞赛-哈尔滨 银奖1项；2017年中国高校计算机大赛-团队程序设计天梯赛一等奖1项，三等奖1项；2017年“蓝桥杯”全国软件和信息技术专业人才大赛决赛一等奖1项，二等奖一项；2017年全国大学生电子设计竞赛二等奖1项）2017年获得省级奖励24项，其中一等奖6项、二等奖10项、三等奖8项。</w:t>
      </w:r>
      <w:bookmarkStart w:id="127" w:name="_Toc18738"/>
      <w:bookmarkStart w:id="128" w:name="_Toc7149"/>
      <w:bookmarkStart w:id="129" w:name="_Toc8636"/>
    </w:p>
    <w:p>
      <w:pPr>
        <w:keepNext w:val="0"/>
        <w:keepLines w:val="0"/>
        <w:widowControl/>
        <w:suppressLineNumbers w:val="0"/>
        <w:jc w:val="left"/>
        <w:rPr>
          <w:rFonts w:hint="eastAsia" w:ascii="Arial" w:hAnsi="Arial" w:eastAsiaTheme="minorEastAsia" w:cstheme="minorBidi"/>
          <w:b/>
          <w:kern w:val="2"/>
          <w:sz w:val="30"/>
          <w:szCs w:val="22"/>
          <w:lang w:val="en-US" w:eastAsia="zh-CN" w:bidi="ar-SA"/>
        </w:rPr>
      </w:pPr>
      <w:r>
        <w:rPr>
          <w:rFonts w:hint="eastAsia" w:ascii="Arial" w:hAnsi="Arial" w:eastAsiaTheme="minorEastAsia" w:cstheme="minorBidi"/>
          <w:b/>
          <w:kern w:val="2"/>
          <w:sz w:val="30"/>
          <w:szCs w:val="22"/>
          <w:lang w:val="en-US" w:eastAsia="zh-CN" w:bidi="ar-SA"/>
        </w:rPr>
        <w:t>（五）建立就业反馈机制，不断优化人才培养</w:t>
      </w:r>
      <w:bookmarkEnd w:id="127"/>
      <w:bookmarkEnd w:id="128"/>
      <w:bookmarkEnd w:id="129"/>
    </w:p>
    <w:p>
      <w:pPr>
        <w:widowControl/>
        <w:spacing w:line="300" w:lineRule="atLeast"/>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学校联合专业调查机构麦可思数据有限公司，制作毕业生就业与能力测评报告。从专业的角度，全方位、多视角的分析毕业生的就业状况，以及毕业生对学院办学质量、就业服务水平等多项指标的反馈。利用多渠道和多种方式定期召开毕业生座谈会，特别是重点就业行业、企业的毕业生座谈，收集毕业生的意见和建议。就业反馈信息的收集对学院评估专业设置、教育教学、就业服务，从而改进各项工作，促进毕业生就业起到很好的促进作用。</w:t>
      </w:r>
    </w:p>
    <w:p>
      <w:pPr>
        <w:widowControl/>
        <w:spacing w:line="300" w:lineRule="atLeast"/>
        <w:ind w:firstLine="56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就业反馈机制的建立，对学院适时调整培养目标、不断优化和完善人才培养方案和课程体系具有重要意义，尤其对我院培养适应地方经济和行业发展需求的实用人才起到了积极的引导作用。</w:t>
      </w:r>
    </w:p>
    <w:p>
      <w:pPr>
        <w:rPr>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E9"/>
    <w:rsid w:val="001A3D33"/>
    <w:rsid w:val="001B2CC1"/>
    <w:rsid w:val="001F36E1"/>
    <w:rsid w:val="002F354D"/>
    <w:rsid w:val="00337FC0"/>
    <w:rsid w:val="00342166"/>
    <w:rsid w:val="00416A6D"/>
    <w:rsid w:val="00581938"/>
    <w:rsid w:val="005B6A15"/>
    <w:rsid w:val="006C4CC0"/>
    <w:rsid w:val="00745EDA"/>
    <w:rsid w:val="0076042C"/>
    <w:rsid w:val="007D0835"/>
    <w:rsid w:val="007D5207"/>
    <w:rsid w:val="008F6B60"/>
    <w:rsid w:val="00953FE1"/>
    <w:rsid w:val="0095531D"/>
    <w:rsid w:val="0099302A"/>
    <w:rsid w:val="009C0721"/>
    <w:rsid w:val="00A35E42"/>
    <w:rsid w:val="00A5192B"/>
    <w:rsid w:val="00AF1019"/>
    <w:rsid w:val="00B1275A"/>
    <w:rsid w:val="00BF20FD"/>
    <w:rsid w:val="00C41B9B"/>
    <w:rsid w:val="00CF253B"/>
    <w:rsid w:val="00DC13E9"/>
    <w:rsid w:val="00DE45C0"/>
    <w:rsid w:val="00F72342"/>
    <w:rsid w:val="00FD52C2"/>
    <w:rsid w:val="01475414"/>
    <w:rsid w:val="016A1CB4"/>
    <w:rsid w:val="01FC519D"/>
    <w:rsid w:val="02A34C0E"/>
    <w:rsid w:val="02D20866"/>
    <w:rsid w:val="02FA76CC"/>
    <w:rsid w:val="051E2E35"/>
    <w:rsid w:val="054E666B"/>
    <w:rsid w:val="05702A6E"/>
    <w:rsid w:val="06C7624E"/>
    <w:rsid w:val="080D78A6"/>
    <w:rsid w:val="0845108E"/>
    <w:rsid w:val="09026118"/>
    <w:rsid w:val="09EC35C5"/>
    <w:rsid w:val="0A6C5C92"/>
    <w:rsid w:val="0BB669AE"/>
    <w:rsid w:val="0BC3061D"/>
    <w:rsid w:val="0C510BF2"/>
    <w:rsid w:val="0D334DA3"/>
    <w:rsid w:val="0DF44FCD"/>
    <w:rsid w:val="0E272CBB"/>
    <w:rsid w:val="0E890327"/>
    <w:rsid w:val="0FC72A5F"/>
    <w:rsid w:val="11A5279C"/>
    <w:rsid w:val="12057D96"/>
    <w:rsid w:val="12457AAE"/>
    <w:rsid w:val="126A18B6"/>
    <w:rsid w:val="1274325F"/>
    <w:rsid w:val="13201331"/>
    <w:rsid w:val="133E484F"/>
    <w:rsid w:val="14596E0B"/>
    <w:rsid w:val="14C624F4"/>
    <w:rsid w:val="15514892"/>
    <w:rsid w:val="15560D1A"/>
    <w:rsid w:val="15AA1168"/>
    <w:rsid w:val="166A071C"/>
    <w:rsid w:val="16847A34"/>
    <w:rsid w:val="17A61914"/>
    <w:rsid w:val="17E33EA7"/>
    <w:rsid w:val="1AB27BCC"/>
    <w:rsid w:val="1BD30B70"/>
    <w:rsid w:val="1C233EB9"/>
    <w:rsid w:val="1D50067C"/>
    <w:rsid w:val="1D582618"/>
    <w:rsid w:val="1D9D5AC0"/>
    <w:rsid w:val="1DD53A6B"/>
    <w:rsid w:val="1DE61C15"/>
    <w:rsid w:val="1E30523C"/>
    <w:rsid w:val="1E3726B6"/>
    <w:rsid w:val="1EDA499E"/>
    <w:rsid w:val="202E1DD8"/>
    <w:rsid w:val="20574A4E"/>
    <w:rsid w:val="20B91608"/>
    <w:rsid w:val="21752C6B"/>
    <w:rsid w:val="21A830D9"/>
    <w:rsid w:val="225B4407"/>
    <w:rsid w:val="22724F79"/>
    <w:rsid w:val="22A33F48"/>
    <w:rsid w:val="22D735C9"/>
    <w:rsid w:val="231D315F"/>
    <w:rsid w:val="247A4651"/>
    <w:rsid w:val="249739F8"/>
    <w:rsid w:val="250C6474"/>
    <w:rsid w:val="25713CD2"/>
    <w:rsid w:val="25B1732A"/>
    <w:rsid w:val="265F0677"/>
    <w:rsid w:val="266A1887"/>
    <w:rsid w:val="26881AC2"/>
    <w:rsid w:val="269A733E"/>
    <w:rsid w:val="269E42BA"/>
    <w:rsid w:val="270909B8"/>
    <w:rsid w:val="27481450"/>
    <w:rsid w:val="27560BC5"/>
    <w:rsid w:val="2789356C"/>
    <w:rsid w:val="279941D3"/>
    <w:rsid w:val="297B4E8E"/>
    <w:rsid w:val="2A9F7862"/>
    <w:rsid w:val="2BD33E3F"/>
    <w:rsid w:val="2D050A08"/>
    <w:rsid w:val="2DBB6B97"/>
    <w:rsid w:val="2DC94B4C"/>
    <w:rsid w:val="2EA73C33"/>
    <w:rsid w:val="2FC41C00"/>
    <w:rsid w:val="30881A5C"/>
    <w:rsid w:val="30B05824"/>
    <w:rsid w:val="30B6415B"/>
    <w:rsid w:val="32611EA7"/>
    <w:rsid w:val="32F73DE9"/>
    <w:rsid w:val="33294A1A"/>
    <w:rsid w:val="33881F4B"/>
    <w:rsid w:val="33A17463"/>
    <w:rsid w:val="33C642F4"/>
    <w:rsid w:val="345A0205"/>
    <w:rsid w:val="36BE3D8D"/>
    <w:rsid w:val="37B324D4"/>
    <w:rsid w:val="3822042F"/>
    <w:rsid w:val="38D93679"/>
    <w:rsid w:val="396E7BF6"/>
    <w:rsid w:val="39E1137C"/>
    <w:rsid w:val="3A385F1D"/>
    <w:rsid w:val="3A592C21"/>
    <w:rsid w:val="3AF80F6E"/>
    <w:rsid w:val="3B456710"/>
    <w:rsid w:val="3B602965"/>
    <w:rsid w:val="3BB4758A"/>
    <w:rsid w:val="3C67503C"/>
    <w:rsid w:val="3CB97C15"/>
    <w:rsid w:val="3D907A08"/>
    <w:rsid w:val="3DAE5DDD"/>
    <w:rsid w:val="3E533AC1"/>
    <w:rsid w:val="3E6A0AB4"/>
    <w:rsid w:val="3EB251F0"/>
    <w:rsid w:val="3F701A33"/>
    <w:rsid w:val="3FA63872"/>
    <w:rsid w:val="3FDD1671"/>
    <w:rsid w:val="400F6FC3"/>
    <w:rsid w:val="418D3BC4"/>
    <w:rsid w:val="42115503"/>
    <w:rsid w:val="42764704"/>
    <w:rsid w:val="42A62397"/>
    <w:rsid w:val="42E613E5"/>
    <w:rsid w:val="447147A4"/>
    <w:rsid w:val="44D71BF8"/>
    <w:rsid w:val="455672F2"/>
    <w:rsid w:val="46CF4558"/>
    <w:rsid w:val="46D22448"/>
    <w:rsid w:val="46EC11DD"/>
    <w:rsid w:val="470A56C2"/>
    <w:rsid w:val="472670D2"/>
    <w:rsid w:val="48005451"/>
    <w:rsid w:val="48266548"/>
    <w:rsid w:val="492043B7"/>
    <w:rsid w:val="49786CF5"/>
    <w:rsid w:val="4B1D0D62"/>
    <w:rsid w:val="4C7D4295"/>
    <w:rsid w:val="504B503D"/>
    <w:rsid w:val="50E52152"/>
    <w:rsid w:val="51C2689A"/>
    <w:rsid w:val="527F58B0"/>
    <w:rsid w:val="53B74FFD"/>
    <w:rsid w:val="545A0498"/>
    <w:rsid w:val="55031E8F"/>
    <w:rsid w:val="56F00D81"/>
    <w:rsid w:val="575531C3"/>
    <w:rsid w:val="578C4C81"/>
    <w:rsid w:val="594B1191"/>
    <w:rsid w:val="5A033A1D"/>
    <w:rsid w:val="5A0D525F"/>
    <w:rsid w:val="5A8174DF"/>
    <w:rsid w:val="5A9B69B3"/>
    <w:rsid w:val="5ACF6025"/>
    <w:rsid w:val="5AD0287B"/>
    <w:rsid w:val="5C324548"/>
    <w:rsid w:val="5D12255F"/>
    <w:rsid w:val="5D8E45ED"/>
    <w:rsid w:val="5DAF2A33"/>
    <w:rsid w:val="5DD052B8"/>
    <w:rsid w:val="5DD23D90"/>
    <w:rsid w:val="5E5528AF"/>
    <w:rsid w:val="5EA16D86"/>
    <w:rsid w:val="5EBE493B"/>
    <w:rsid w:val="5ED3125D"/>
    <w:rsid w:val="6093313D"/>
    <w:rsid w:val="611D0CCF"/>
    <w:rsid w:val="61A16914"/>
    <w:rsid w:val="61C0582A"/>
    <w:rsid w:val="621528BE"/>
    <w:rsid w:val="62B70A20"/>
    <w:rsid w:val="633462D1"/>
    <w:rsid w:val="63F35055"/>
    <w:rsid w:val="6497372B"/>
    <w:rsid w:val="660F6930"/>
    <w:rsid w:val="66CF79CE"/>
    <w:rsid w:val="67D958C6"/>
    <w:rsid w:val="680C5954"/>
    <w:rsid w:val="68A11B9B"/>
    <w:rsid w:val="68A343B2"/>
    <w:rsid w:val="68E5482B"/>
    <w:rsid w:val="69044479"/>
    <w:rsid w:val="69E300AC"/>
    <w:rsid w:val="6A226821"/>
    <w:rsid w:val="6A40309A"/>
    <w:rsid w:val="6ABE3043"/>
    <w:rsid w:val="6CBC29E5"/>
    <w:rsid w:val="6E453175"/>
    <w:rsid w:val="6E985A2E"/>
    <w:rsid w:val="6F164E35"/>
    <w:rsid w:val="6F196466"/>
    <w:rsid w:val="6FBB67A9"/>
    <w:rsid w:val="6FF75F2C"/>
    <w:rsid w:val="700F790D"/>
    <w:rsid w:val="70C21FB8"/>
    <w:rsid w:val="7150736F"/>
    <w:rsid w:val="723120AC"/>
    <w:rsid w:val="731531E4"/>
    <w:rsid w:val="735F0A9F"/>
    <w:rsid w:val="739D4B5F"/>
    <w:rsid w:val="74842E64"/>
    <w:rsid w:val="74C40959"/>
    <w:rsid w:val="754E5984"/>
    <w:rsid w:val="76405162"/>
    <w:rsid w:val="79627941"/>
    <w:rsid w:val="79B12CC7"/>
    <w:rsid w:val="7A7B68BB"/>
    <w:rsid w:val="7A97642E"/>
    <w:rsid w:val="7AA9432D"/>
    <w:rsid w:val="7B9C0277"/>
    <w:rsid w:val="7CEA4343"/>
    <w:rsid w:val="7D751002"/>
    <w:rsid w:val="7E755EAE"/>
    <w:rsid w:val="7EF7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240" w:lineRule="auto"/>
      <w:outlineLvl w:val="0"/>
    </w:pPr>
    <w:rPr>
      <w:rFonts w:asciiTheme="minorAscii" w:hAnsiTheme="minorAscii"/>
      <w:b/>
      <w:kern w:val="44"/>
      <w:sz w:val="32"/>
    </w:rPr>
  </w:style>
  <w:style w:type="paragraph" w:styleId="3">
    <w:name w:val="heading 2"/>
    <w:basedOn w:val="1"/>
    <w:next w:val="1"/>
    <w:link w:val="22"/>
    <w:unhideWhenUsed/>
    <w:qFormat/>
    <w:uiPriority w:val="0"/>
    <w:pPr>
      <w:keepNext/>
      <w:keepLines/>
      <w:spacing w:before="260" w:after="260" w:line="413" w:lineRule="auto"/>
      <w:outlineLvl w:val="1"/>
    </w:pPr>
    <w:rPr>
      <w:rFonts w:ascii="Arial" w:hAnsi="Arial" w:eastAsiaTheme="minorEastAsia"/>
      <w:b/>
      <w:sz w:val="30"/>
    </w:rPr>
  </w:style>
  <w:style w:type="paragraph" w:styleId="4">
    <w:name w:val="heading 3"/>
    <w:basedOn w:val="1"/>
    <w:next w:val="1"/>
    <w:unhideWhenUsed/>
    <w:qFormat/>
    <w:uiPriority w:val="0"/>
    <w:pPr>
      <w:keepNext/>
      <w:keepLines/>
      <w:spacing w:before="260" w:after="260" w:line="413" w:lineRule="auto"/>
      <w:outlineLvl w:val="2"/>
    </w:pPr>
    <w:rPr>
      <w:rFonts w:asciiTheme="minorAscii" w:hAnsiTheme="minorAscii"/>
      <w:b/>
      <w:sz w:val="2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pPr>
    <w:rPr>
      <w:rFonts w:asciiTheme="minorAscii" w:hAnsiTheme="minorAscii"/>
      <w:sz w:val="28"/>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Theme="minorAscii" w:hAnsiTheme="minorAscii"/>
      <w:sz w:val="28"/>
    </w:rPr>
  </w:style>
  <w:style w:type="paragraph" w:styleId="9">
    <w:name w:val="footnote text"/>
    <w:basedOn w:val="1"/>
    <w:link w:val="21"/>
    <w:qFormat/>
    <w:uiPriority w:val="0"/>
    <w:pPr>
      <w:snapToGrid w:val="0"/>
      <w:jc w:val="left"/>
    </w:pPr>
    <w:rPr>
      <w:rFonts w:ascii="Times New Roman" w:hAnsi="Times New Roman" w:eastAsia="Times New Roman" w:cs="Times New Roman"/>
      <w:sz w:val="18"/>
      <w:szCs w:val="18"/>
    </w:rPr>
  </w:style>
  <w:style w:type="paragraph" w:styleId="10">
    <w:name w:val="toc 2"/>
    <w:basedOn w:val="1"/>
    <w:next w:val="1"/>
    <w:qFormat/>
    <w:uiPriority w:val="0"/>
    <w:pPr>
      <w:ind w:left="420" w:leftChars="200"/>
    </w:pPr>
    <w:rPr>
      <w:rFonts w:asciiTheme="minorAscii" w:hAnsiTheme="minorAscii"/>
      <w:sz w:val="28"/>
    </w:rPr>
  </w:style>
  <w:style w:type="paragraph" w:styleId="11">
    <w:name w:val="Normal (Web)"/>
    <w:basedOn w:val="1"/>
    <w:qFormat/>
    <w:uiPriority w:val="0"/>
    <w:pPr>
      <w:jc w:val="left"/>
    </w:pPr>
    <w:rPr>
      <w:rFonts w:cs="Times New Roman"/>
      <w:kern w:val="0"/>
      <w:sz w:val="24"/>
    </w:r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character" w:styleId="15">
    <w:name w:val="footnote reference"/>
    <w:basedOn w:val="12"/>
    <w:qFormat/>
    <w:uiPriority w:val="0"/>
    <w:rPr>
      <w:vertAlign w:val="superscript"/>
    </w:rPr>
  </w:style>
  <w:style w:type="table" w:styleId="17">
    <w:name w:val="Table Grid"/>
    <w:basedOn w:val="1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Char"/>
    <w:link w:val="2"/>
    <w:qFormat/>
    <w:uiPriority w:val="0"/>
    <w:rPr>
      <w:rFonts w:asciiTheme="minorAscii" w:hAnsiTheme="minorAscii" w:eastAsiaTheme="minorEastAsia"/>
      <w:b/>
      <w:kern w:val="44"/>
      <w:sz w:val="32"/>
    </w:rPr>
  </w:style>
  <w:style w:type="paragraph" w:customStyle="1" w:styleId="19">
    <w:name w:val="列出段落1"/>
    <w:basedOn w:val="1"/>
    <w:qFormat/>
    <w:uiPriority w:val="0"/>
    <w:pPr>
      <w:ind w:firstLine="420" w:firstLineChars="200"/>
    </w:pPr>
    <w:rPr>
      <w:rFonts w:ascii="Calibri" w:hAnsi="Calibri" w:eastAsia="宋体" w:cs="Times New Roman"/>
      <w:szCs w:val="22"/>
    </w:rPr>
  </w:style>
  <w:style w:type="paragraph" w:customStyle="1" w:styleId="20">
    <w:name w:val="列出段落11"/>
    <w:basedOn w:val="1"/>
    <w:qFormat/>
    <w:uiPriority w:val="0"/>
    <w:pPr>
      <w:ind w:firstLine="420" w:firstLineChars="200"/>
    </w:pPr>
    <w:rPr>
      <w:rFonts w:ascii="Calibri" w:hAnsi="Calibri" w:eastAsia="宋体" w:cs="Times New Roman"/>
      <w:szCs w:val="22"/>
    </w:rPr>
  </w:style>
  <w:style w:type="character" w:customStyle="1" w:styleId="21">
    <w:name w:val="脚注文本 Char"/>
    <w:basedOn w:val="12"/>
    <w:link w:val="9"/>
    <w:qFormat/>
    <w:uiPriority w:val="0"/>
    <w:rPr>
      <w:kern w:val="2"/>
      <w:sz w:val="18"/>
      <w:szCs w:val="18"/>
      <w:lang w:bidi="ar"/>
    </w:rPr>
  </w:style>
  <w:style w:type="character" w:customStyle="1" w:styleId="22">
    <w:name w:val="标题 2 Char"/>
    <w:link w:val="3"/>
    <w:qFormat/>
    <w:uiPriority w:val="0"/>
    <w:rPr>
      <w:rFonts w:ascii="Arial" w:hAnsi="Arial" w:eastAsiaTheme="minorEastAsia"/>
      <w:b/>
      <w:sz w:val="30"/>
    </w:rPr>
  </w:style>
  <w:style w:type="paragraph" w:customStyle="1" w:styleId="23">
    <w:name w:val="_Style 2"/>
    <w:basedOn w:val="1"/>
    <w:qFormat/>
    <w:uiPriority w:val="34"/>
    <w:pPr>
      <w:ind w:firstLine="420" w:firstLineChars="200"/>
    </w:pPr>
  </w:style>
  <w:style w:type="paragraph" w:customStyle="1" w:styleId="24">
    <w:name w:val="_Style 1"/>
    <w:basedOn w:val="1"/>
    <w:qFormat/>
    <w:uiPriority w:val="34"/>
    <w:pPr>
      <w:ind w:firstLine="420" w:firstLineChars="200"/>
    </w:pPr>
  </w:style>
  <w:style w:type="character" w:customStyle="1" w:styleId="25">
    <w:name w:val="页眉 Char"/>
    <w:basedOn w:val="12"/>
    <w:link w:val="7"/>
    <w:qFormat/>
    <w:uiPriority w:val="0"/>
    <w:rPr>
      <w:rFonts w:asciiTheme="minorHAnsi" w:hAnsiTheme="minorHAnsi" w:eastAsiaTheme="minorEastAsia" w:cstheme="minorBidi"/>
      <w:kern w:val="2"/>
      <w:sz w:val="18"/>
      <w:szCs w:val="18"/>
    </w:rPr>
  </w:style>
  <w:style w:type="character" w:customStyle="1" w:styleId="26">
    <w:name w:val="页脚 Char"/>
    <w:basedOn w:val="12"/>
    <w:link w:val="6"/>
    <w:qFormat/>
    <w:uiPriority w:val="0"/>
    <w:rPr>
      <w:rFonts w:asciiTheme="minorHAnsi" w:hAnsiTheme="minorHAnsi" w:eastAsiaTheme="minorEastAsia" w:cstheme="minorBidi"/>
      <w:kern w:val="2"/>
      <w:sz w:val="18"/>
      <w:szCs w:val="18"/>
    </w:rPr>
  </w:style>
  <w:style w:type="paragraph" w:styleId="27">
    <w:name w:val=""/>
    <w:basedOn w:val="1"/>
    <w:next w:val="1"/>
    <w:uiPriority w:val="0"/>
    <w:pPr>
      <w:pBdr>
        <w:bottom w:val="single" w:color="auto" w:sz="6" w:space="1"/>
      </w:pBdr>
      <w:jc w:val="center"/>
    </w:pPr>
    <w:rPr>
      <w:rFonts w:ascii="Arial" w:eastAsia="宋体"/>
      <w:vanish/>
      <w:sz w:val="16"/>
    </w:rPr>
  </w:style>
  <w:style w:type="paragraph" w:styleId="2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图1.2.1吉首大学信息科学与工程学院</a:t>
            </a:r>
          </a:p>
          <a:p>
            <a:pPr defTabSz="914400">
              <a:defRPr lang="zh-CN" sz="1400" b="0" i="0" u="none" strike="noStrike" kern="1200" cap="none" spc="20" baseline="0">
                <a:solidFill>
                  <a:schemeClr val="tx1">
                    <a:lumMod val="50000"/>
                    <a:lumOff val="50000"/>
                  </a:schemeClr>
                </a:solidFill>
                <a:latin typeface="+mn-lt"/>
                <a:ea typeface="+mn-ea"/>
                <a:cs typeface="+mn-cs"/>
              </a:defRPr>
            </a:pPr>
            <a:r>
              <a:t>2017届毕业生性别构成</a:t>
            </a:r>
          </a:p>
        </c:rich>
      </c:tx>
      <c:layout>
        <c:manualLayout>
          <c:xMode val="edge"/>
          <c:yMode val="edge"/>
          <c:x val="0.26"/>
          <c:y val="0.0211202081746637"/>
        </c:manualLayout>
      </c:layout>
      <c:overlay val="0"/>
      <c:spPr>
        <a:noFill/>
        <a:ln>
          <a:noFill/>
        </a:ln>
        <a:effectLst/>
      </c:spPr>
    </c:title>
    <c:autoTitleDeleted val="0"/>
    <c:plotArea>
      <c:layout/>
      <c:pieChart>
        <c:varyColors val="1"/>
        <c:ser>
          <c:idx val="0"/>
          <c:order val="0"/>
          <c:tx>
            <c:strRef>
              <c:f>Sheet1!$B$1</c:f>
              <c:strCache>
                <c:ptCount val="1"/>
                <c:pt idx="0">
                  <c:v>图1.2.1吉首大学信息科学与工程学院2017届毕业生性别构成</c:v>
                </c:pt>
              </c:strCache>
            </c:strRef>
          </c:tx>
          <c:spPr/>
          <c:explosion val="0"/>
          <c:dPt>
            <c:idx val="0"/>
            <c:bubble3D val="0"/>
            <c:explosion val="2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explosion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dLbl>
              <c:idx val="0"/>
              <c:layout>
                <c:manualLayout>
                  <c:x val="-0.109011857079264"/>
                  <c:y val="0.3152486265462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287人</a:t>
                    </a:r>
                  </a:p>
                  <a:p>
                    <a:pPr defTabSz="914400">
                      <a:defRPr lang="zh-CN" sz="900" b="0" i="0" u="none" strike="noStrike" kern="1200" baseline="0">
                        <a:solidFill>
                          <a:schemeClr val="tx1">
                            <a:lumMod val="65000"/>
                            <a:lumOff val="35000"/>
                          </a:schemeClr>
                        </a:solidFill>
                        <a:latin typeface="+mn-lt"/>
                        <a:ea typeface="+mn-ea"/>
                        <a:cs typeface="+mn-cs"/>
                      </a:defRPr>
                    </a:pPr>
                    <a:r>
                      <a:t>77.57%</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40249647620516"/>
                  <c:y val="-0.3775477419920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83人</a:t>
                    </a:r>
                  </a:p>
                  <a:p>
                    <a:pPr defTabSz="914400">
                      <a:defRPr lang="zh-CN" sz="900" b="0" i="0" u="none" strike="noStrike" kern="1200" baseline="0">
                        <a:solidFill>
                          <a:schemeClr val="tx1">
                            <a:lumMod val="65000"/>
                            <a:lumOff val="35000"/>
                          </a:schemeClr>
                        </a:solidFill>
                        <a:latin typeface="+mn-lt"/>
                        <a:ea typeface="+mn-ea"/>
                        <a:cs typeface="+mn-cs"/>
                      </a:defRPr>
                    </a:pPr>
                    <a:r>
                      <a:t>22.43%</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女生</c:v>
                </c:pt>
                <c:pt idx="1">
                  <c:v>男生</c:v>
                </c:pt>
              </c:strCache>
            </c:strRef>
          </c:cat>
          <c:val>
            <c:numRef>
              <c:f>Sheet1!$B$2:$B$3</c:f>
              <c:numCache>
                <c:formatCode>General</c:formatCode>
                <c:ptCount val="2"/>
                <c:pt idx="0">
                  <c:v>83</c:v>
                </c:pt>
                <c:pt idx="1">
                  <c:v>287</c:v>
                </c:pt>
              </c:numCache>
            </c:numRef>
          </c:val>
        </c:ser>
        <c:ser>
          <c:idx val="1"/>
          <c:order val="1"/>
          <c:tx>
            <c:strRef>
              <c:f>Sheet1!$C$1</c:f>
              <c:strCache>
                <c:ptCount val="1"/>
                <c:pt idx="0">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女生</c:v>
                </c:pt>
                <c:pt idx="1">
                  <c:v>男生</c:v>
                </c:pt>
              </c:strCache>
            </c:strRef>
          </c:cat>
          <c:val>
            <c:numRef>
              <c:f>Sheet1!$C$2:$C$3</c:f>
              <c:numCache>
                <c:formatCode>General</c:formatCode>
                <c:ptCount val="2"/>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manualLayout>
          <c:xMode val="edge"/>
          <c:yMode val="edge"/>
          <c:x val="0.789112426035503"/>
          <c:y val="0.285097740543285"/>
          <c:w val="0.108402366863905"/>
          <c:h val="0.5110434120335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0340510766149"/>
          <c:y val="0.113222280062467"/>
          <c:w val="0.906034051076615"/>
          <c:h val="0.64325871941697"/>
        </c:manualLayout>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65人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15人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很满意</c:v>
                </c:pt>
                <c:pt idx="1">
                  <c:v>满意</c:v>
                </c:pt>
                <c:pt idx="2">
                  <c:v>不满意</c:v>
                </c:pt>
              </c:strCache>
            </c:strRef>
          </c:cat>
          <c:val>
            <c:numRef>
              <c:f>Sheet1!$B$2:$B$4</c:f>
              <c:numCache>
                <c:formatCode>General</c:formatCode>
                <c:ptCount val="3"/>
                <c:pt idx="0">
                  <c:v>31</c:v>
                </c:pt>
                <c:pt idx="1">
                  <c:v>65</c:v>
                </c:pt>
                <c:pt idx="2">
                  <c:v>15</c:v>
                </c:pt>
              </c:numCache>
            </c:numRef>
          </c:val>
        </c:ser>
        <c:dLbls>
          <c:showLegendKey val="0"/>
          <c:showVal val="1"/>
          <c:showCatName val="0"/>
          <c:showSerName val="0"/>
          <c:showPercent val="0"/>
          <c:showBubbleSize val="0"/>
        </c:dLbls>
        <c:gapWidth val="219"/>
        <c:overlap val="-27"/>
        <c:axId val="689593024"/>
        <c:axId val="689593416"/>
      </c:barChart>
      <c:catAx>
        <c:axId val="689593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93416"/>
        <c:crosses val="autoZero"/>
        <c:auto val="1"/>
        <c:lblAlgn val="ctr"/>
        <c:lblOffset val="100"/>
        <c:noMultiLvlLbl val="0"/>
      </c:catAx>
      <c:valAx>
        <c:axId val="689593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93024"/>
        <c:crosses val="autoZero"/>
        <c:crossBetween val="between"/>
      </c:valAx>
      <c:spPr>
        <a:noFill/>
        <a:ln>
          <a:noFill/>
        </a:ln>
        <a:effectLst/>
      </c:spPr>
    </c:plotArea>
    <c:legend>
      <c:legendPos val="b"/>
      <c:layout>
        <c:manualLayout>
          <c:xMode val="edge"/>
          <c:yMode val="edge"/>
          <c:x val="0.851812926957436"/>
          <c:y val="0.0852601156069364"/>
          <c:w val="0.122832369942197"/>
          <c:h val="0.256141618497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cap="none" spc="20" baseline="0">
                <a:solidFill>
                  <a:schemeClr val="tx1">
                    <a:lumMod val="50000"/>
                    <a:lumOff val="50000"/>
                  </a:schemeClr>
                </a:solidFill>
                <a:latin typeface="+mn-lt"/>
                <a:ea typeface="+mn-ea"/>
                <a:cs typeface="+mn-cs"/>
              </a:defRPr>
            </a:pPr>
            <a:r>
              <a:rPr sz="1200"/>
              <a:t>图1.2.2吉首大学信息科学与工程学院</a:t>
            </a:r>
            <a:endParaRPr sz="1200"/>
          </a:p>
          <a:p>
            <a:pPr defTabSz="914400">
              <a:defRPr lang="zh-CN" sz="1200" b="0" i="0" u="none" strike="noStrike" kern="1200" cap="none" spc="20" baseline="0">
                <a:solidFill>
                  <a:schemeClr val="tx1">
                    <a:lumMod val="50000"/>
                    <a:lumOff val="50000"/>
                  </a:schemeClr>
                </a:solidFill>
                <a:latin typeface="+mn-lt"/>
                <a:ea typeface="+mn-ea"/>
                <a:cs typeface="+mn-cs"/>
              </a:defRPr>
            </a:pPr>
            <a:r>
              <a:rPr sz="1200"/>
              <a:t>201</a:t>
            </a:r>
            <a:r>
              <a:rPr lang="en-US" altLang="zh-CN" sz="1200"/>
              <a:t>7</a:t>
            </a:r>
            <a:r>
              <a:rPr sz="1200"/>
              <a:t>届毕业生城乡生源分布</a:t>
            </a:r>
            <a:endParaRPr sz="1200"/>
          </a:p>
        </c:rich>
      </c:tx>
      <c:layout>
        <c:manualLayout>
          <c:xMode val="edge"/>
          <c:yMode val="edge"/>
          <c:x val="0.261334936861094"/>
          <c:y val="0.0723043068217541"/>
        </c:manualLayout>
      </c:layout>
      <c:overlay val="0"/>
      <c:spPr>
        <a:noFill/>
        <a:ln>
          <a:noFill/>
        </a:ln>
        <a:effectLst/>
      </c:spPr>
    </c:title>
    <c:autoTitleDeleted val="0"/>
    <c:plotArea>
      <c:layout>
        <c:manualLayout>
          <c:layoutTarget val="inner"/>
          <c:xMode val="edge"/>
          <c:yMode val="edge"/>
          <c:x val="0.327899452463912"/>
          <c:y val="0.264931087289433"/>
          <c:w val="0.337356893977103"/>
          <c:h val="0.691934660541092"/>
        </c:manualLayout>
      </c:layout>
      <c:pieChart>
        <c:varyColors val="1"/>
        <c:ser>
          <c:idx val="0"/>
          <c:order val="0"/>
          <c:tx>
            <c:strRef>
              <c:f>Sheet1!$B$1</c:f>
              <c:strCache>
                <c:ptCount val="1"/>
                <c:pt idx="0">
                  <c:v>图1.2.3.1吉首大学2015届本专科毕业生城乡生源分布</c:v>
                </c:pt>
              </c:strCache>
            </c:strRef>
          </c:tx>
          <c:spPr/>
          <c:explosion val="8"/>
          <c:dPt>
            <c:idx val="0"/>
            <c:bubble3D val="0"/>
            <c:explosion val="1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explosion val="6"/>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dLbl>
              <c:idx val="0"/>
              <c:layout>
                <c:manualLayout>
                  <c:x val="-0.0901256968978859"/>
                  <c:y val="0.052681091197611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a:t>107</a:t>
                    </a:r>
                    <a:r>
                      <a:t>人</a:t>
                    </a:r>
                  </a:p>
                  <a:p>
                    <a:pPr>
                      <a:defRPr lang="zh-CN" sz="900" b="0" i="0" u="none" strike="noStrike" kern="1200" baseline="0">
                        <a:solidFill>
                          <a:schemeClr val="tx1">
                            <a:lumMod val="65000"/>
                            <a:lumOff val="35000"/>
                          </a:schemeClr>
                        </a:solidFill>
                        <a:latin typeface="+mn-lt"/>
                        <a:ea typeface="+mn-ea"/>
                        <a:cs typeface="+mn-cs"/>
                      </a:defRPr>
                    </a:pPr>
                    <a:r>
                      <a:t> </a:t>
                    </a:r>
                    <a:r>
                      <a:rPr lang="en-US" altLang="zh-CN"/>
                      <a:t>28.92</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7972323628783"/>
                  <c:y val="-0.064942036185962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a:t>263</a:t>
                    </a:r>
                    <a:r>
                      <a:t>人</a:t>
                    </a:r>
                  </a:p>
                  <a:p>
                    <a:pPr>
                      <a:defRPr lang="zh-CN" sz="900" b="0" i="0" u="none" strike="noStrike" kern="1200" baseline="0">
                        <a:solidFill>
                          <a:schemeClr val="tx1">
                            <a:lumMod val="65000"/>
                            <a:lumOff val="35000"/>
                          </a:schemeClr>
                        </a:solidFill>
                        <a:latin typeface="+mn-lt"/>
                        <a:ea typeface="+mn-ea"/>
                        <a:cs typeface="+mn-cs"/>
                      </a:defRPr>
                    </a:pPr>
                    <a:r>
                      <a:t> </a:t>
                    </a:r>
                    <a:r>
                      <a:rPr lang="en-US" altLang="zh-CN"/>
                      <a:t>71.08</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城镇</c:v>
                </c:pt>
                <c:pt idx="1">
                  <c:v>农村</c:v>
                </c:pt>
              </c:strCache>
            </c:strRef>
          </c:cat>
          <c:val>
            <c:numRef>
              <c:f>Sheet1!$B$2:$B$3</c:f>
              <c:numCache>
                <c:formatCode>General</c:formatCode>
                <c:ptCount val="2"/>
                <c:pt idx="0">
                  <c:v>107</c:v>
                </c:pt>
                <c:pt idx="1">
                  <c:v>263</c:v>
                </c:pt>
              </c:numCache>
            </c:numRef>
          </c:val>
        </c:ser>
        <c:ser>
          <c:idx val="1"/>
          <c:order val="1"/>
          <c:tx>
            <c:strRef>
              <c:f>Sheet1!$C$1</c:f>
              <c:strCache>
                <c:ptCount val="1"/>
                <c:pt idx="0">
                  <c:v>列1</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城镇</c:v>
                </c:pt>
                <c:pt idx="1">
                  <c:v>农村</c:v>
                </c:pt>
              </c:strCache>
            </c:strRef>
          </c:cat>
          <c:val>
            <c:numRef>
              <c:f>Sheet1!$C$2:$C$3</c:f>
              <c:numCache>
                <c:formatCode>0.00%</c:formatCode>
                <c:ptCount val="2"/>
                <c:pt idx="0">
                  <c:v>0.2892</c:v>
                </c:pt>
                <c:pt idx="1">
                  <c:v>0.7108</c:v>
                </c:pt>
              </c:numCache>
            </c:numRef>
          </c:val>
        </c:ser>
        <c:dLbls>
          <c:showLegendKey val="0"/>
          <c:showVal val="1"/>
          <c:showCatName val="0"/>
          <c:showSerName val="0"/>
          <c:showPercent val="0"/>
          <c:showBubbleSize val="0"/>
          <c:showLeaderLines val="1"/>
        </c:dLbls>
        <c:firstSliceAng val="25"/>
      </c:pieChart>
      <c:spPr>
        <a:noFill/>
        <a:ln>
          <a:noFill/>
        </a:ln>
        <a:effectLst/>
      </c:spPr>
    </c:plotArea>
    <c:legend>
      <c:legendPos val="b"/>
      <c:layout>
        <c:manualLayout>
          <c:xMode val="edge"/>
          <c:yMode val="edge"/>
          <c:x val="0.78324049406636"/>
          <c:y val="0.378811694435712"/>
          <c:w val="0.0956648098813272"/>
          <c:h val="0.3772398616787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2"/>
          <c:y val="0.0425"/>
          <c:w val="0.8913"/>
          <c:h val="0.647733333333333"/>
        </c:manualLayout>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68人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106人</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84人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54人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58人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计算机科学与技术</c:v>
                </c:pt>
                <c:pt idx="1">
                  <c:v>电子信息工程</c:v>
                </c:pt>
                <c:pt idx="2">
                  <c:v>通信工程</c:v>
                </c:pt>
                <c:pt idx="3">
                  <c:v>网络工程</c:v>
                </c:pt>
                <c:pt idx="4">
                  <c:v>电气工程及其自动化</c:v>
                </c:pt>
              </c:strCache>
            </c:strRef>
          </c:cat>
          <c:val>
            <c:numRef>
              <c:f>Sheet1!$B$2:$B$6</c:f>
              <c:numCache>
                <c:formatCode>General</c:formatCode>
                <c:ptCount val="5"/>
                <c:pt idx="0">
                  <c:v>68</c:v>
                </c:pt>
                <c:pt idx="1">
                  <c:v>106</c:v>
                </c:pt>
                <c:pt idx="2">
                  <c:v>84</c:v>
                </c:pt>
                <c:pt idx="3">
                  <c:v>54</c:v>
                </c:pt>
                <c:pt idx="4">
                  <c:v>58</c:v>
                </c:pt>
              </c:numCache>
            </c:numRef>
          </c:val>
        </c:ser>
        <c:dLbls>
          <c:showLegendKey val="0"/>
          <c:showVal val="1"/>
          <c:showCatName val="0"/>
          <c:showSerName val="0"/>
          <c:showPercent val="0"/>
          <c:showBubbleSize val="0"/>
        </c:dLbls>
        <c:gapWidth val="219"/>
        <c:overlap val="-27"/>
        <c:axId val="391761209"/>
        <c:axId val="475920978"/>
      </c:barChart>
      <c:catAx>
        <c:axId val="3917612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27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920978"/>
        <c:crosses val="autoZero"/>
        <c:auto val="1"/>
        <c:lblAlgn val="ctr"/>
        <c:lblOffset val="100"/>
        <c:noMultiLvlLbl val="0"/>
      </c:catAx>
      <c:valAx>
        <c:axId val="4759209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7612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传统就业</c:v>
                </c:pt>
                <c:pt idx="1">
                  <c:v>灵活就业</c:v>
                </c:pt>
                <c:pt idx="2">
                  <c:v>继续深造与出国</c:v>
                </c:pt>
                <c:pt idx="3">
                  <c:v>待就业</c:v>
                </c:pt>
                <c:pt idx="4">
                  <c:v>国家、地方项目</c:v>
                </c:pt>
              </c:strCache>
            </c:strRef>
          </c:cat>
          <c:val>
            <c:numRef>
              <c:f>Sheet1!$B$2:$B$6</c:f>
              <c:numCache>
                <c:formatCode>0.00%</c:formatCode>
                <c:ptCount val="5"/>
                <c:pt idx="0">
                  <c:v>0.1486</c:v>
                </c:pt>
                <c:pt idx="1">
                  <c:v>0.6838</c:v>
                </c:pt>
                <c:pt idx="2">
                  <c:v>0.1</c:v>
                </c:pt>
                <c:pt idx="3">
                  <c:v>0.0649</c:v>
                </c:pt>
                <c:pt idx="4">
                  <c:v>0.0027</c:v>
                </c:pt>
              </c:numCache>
            </c:numRef>
          </c:val>
        </c:ser>
        <c:dLbls>
          <c:showLegendKey val="0"/>
          <c:showVal val="0"/>
          <c:showCatName val="0"/>
          <c:showSerName val="0"/>
          <c:showPercent val="0"/>
          <c:showBubbleSize val="0"/>
        </c:dLbls>
        <c:gapWidth val="219"/>
        <c:overlap val="-27"/>
        <c:axId val="392282326"/>
        <c:axId val="708479032"/>
      </c:barChart>
      <c:catAx>
        <c:axId val="3922823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8479032"/>
        <c:crosses val="autoZero"/>
        <c:auto val="1"/>
        <c:lblAlgn val="ctr"/>
        <c:lblOffset val="100"/>
        <c:noMultiLvlLbl val="0"/>
      </c:catAx>
      <c:valAx>
        <c:axId val="708479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2823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机关单位</c:v>
                </c:pt>
                <c:pt idx="1">
                  <c:v>企业单位</c:v>
                </c:pt>
              </c:strCache>
            </c:strRef>
          </c:cat>
          <c:val>
            <c:numRef>
              <c:f>Sheet1!$B$2:$B$3</c:f>
              <c:numCache>
                <c:formatCode>0.00%</c:formatCode>
                <c:ptCount val="2"/>
                <c:pt idx="0">
                  <c:v>0.0313</c:v>
                </c:pt>
                <c:pt idx="1">
                  <c:v>0.9688</c:v>
                </c:pt>
              </c:numCache>
            </c:numRef>
          </c:val>
        </c:ser>
        <c:dLbls>
          <c:showLegendKey val="0"/>
          <c:showVal val="1"/>
          <c:showCatName val="0"/>
          <c:showSerName val="0"/>
          <c:showPercent val="0"/>
          <c:showBubbleSize val="0"/>
        </c:dLbls>
        <c:gapWidth val="219"/>
        <c:overlap val="-27"/>
        <c:axId val="136331880"/>
        <c:axId val="661892322"/>
      </c:barChart>
      <c:catAx>
        <c:axId val="1363318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892322"/>
        <c:crosses val="autoZero"/>
        <c:auto val="1"/>
        <c:lblAlgn val="ctr"/>
        <c:lblOffset val="100"/>
        <c:noMultiLvlLbl val="0"/>
      </c:catAx>
      <c:valAx>
        <c:axId val="66189232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331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01263077271561"/>
          <c:y val="0.105405233525358"/>
          <c:w val="0.895543054954565"/>
          <c:h val="0.80797860485848"/>
        </c:manualLayout>
      </c:layout>
      <c:barChart>
        <c:barDir val="col"/>
        <c:grouping val="clustered"/>
        <c:varyColors val="0"/>
        <c:ser>
          <c:idx val="0"/>
          <c:order val="0"/>
          <c:tx>
            <c:strRef>
              <c:f>Sheet1!$B$1</c:f>
              <c:strCache>
                <c:ptCount val="1"/>
                <c:pt idx="0">
                  <c:v>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敬业精神</c:v>
                </c:pt>
                <c:pt idx="1">
                  <c:v>专业技能</c:v>
                </c:pt>
                <c:pt idx="2">
                  <c:v>工作能力</c:v>
                </c:pt>
                <c:pt idx="3">
                  <c:v>文化素养</c:v>
                </c:pt>
                <c:pt idx="4">
                  <c:v>职业操守</c:v>
                </c:pt>
                <c:pt idx="5">
                  <c:v>沟通能力</c:v>
                </c:pt>
                <c:pt idx="6">
                  <c:v>团队协作</c:v>
                </c:pt>
                <c:pt idx="7">
                  <c:v>抗压能力</c:v>
                </c:pt>
                <c:pt idx="8">
                  <c:v>身心健康</c:v>
                </c:pt>
              </c:strCache>
            </c:strRef>
          </c:cat>
          <c:val>
            <c:numRef>
              <c:f>Sheet1!$B$2:$B$10</c:f>
              <c:numCache>
                <c:formatCode>0.00%</c:formatCode>
                <c:ptCount val="9"/>
                <c:pt idx="0">
                  <c:v>0.9063</c:v>
                </c:pt>
                <c:pt idx="1">
                  <c:v>0.7813</c:v>
                </c:pt>
                <c:pt idx="2">
                  <c:v>0.8438</c:v>
                </c:pt>
                <c:pt idx="3">
                  <c:v>0.9063</c:v>
                </c:pt>
                <c:pt idx="4">
                  <c:v>0.9688</c:v>
                </c:pt>
                <c:pt idx="5">
                  <c:v>0.8125</c:v>
                </c:pt>
                <c:pt idx="6">
                  <c:v>0.875</c:v>
                </c:pt>
                <c:pt idx="7">
                  <c:v>0.9063</c:v>
                </c:pt>
                <c:pt idx="8">
                  <c:v>0.875</c:v>
                </c:pt>
              </c:numCache>
            </c:numRef>
          </c:val>
        </c:ser>
        <c:dLbls>
          <c:showLegendKey val="0"/>
          <c:showVal val="0"/>
          <c:showCatName val="0"/>
          <c:showSerName val="0"/>
          <c:showPercent val="0"/>
          <c:showBubbleSize val="0"/>
        </c:dLbls>
        <c:gapWidth val="219"/>
        <c:overlap val="-27"/>
        <c:axId val="688392240"/>
        <c:axId val="688392632"/>
      </c:barChart>
      <c:catAx>
        <c:axId val="6883922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392632"/>
        <c:crosses val="autoZero"/>
        <c:auto val="1"/>
        <c:lblAlgn val="ctr"/>
        <c:lblOffset val="100"/>
        <c:noMultiLvlLbl val="0"/>
      </c:catAx>
      <c:valAx>
        <c:axId val="688392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39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满意</c:v>
                </c:pt>
                <c:pt idx="1">
                  <c:v>比较满意</c:v>
                </c:pt>
                <c:pt idx="2">
                  <c:v>一般</c:v>
                </c:pt>
                <c:pt idx="3">
                  <c:v>不满意</c:v>
                </c:pt>
              </c:strCache>
            </c:strRef>
          </c:cat>
          <c:val>
            <c:numRef>
              <c:f>Sheet1!$B$2:$B$5</c:f>
              <c:numCache>
                <c:formatCode>General</c:formatCode>
                <c:ptCount val="4"/>
                <c:pt idx="0">
                  <c:v>28</c:v>
                </c:pt>
                <c:pt idx="1">
                  <c:v>4</c:v>
                </c:pt>
                <c:pt idx="2">
                  <c:v>0</c:v>
                </c:pt>
                <c:pt idx="3">
                  <c:v>0</c:v>
                </c:pt>
              </c:numCache>
            </c:numRef>
          </c:val>
        </c:ser>
        <c:dLbls>
          <c:showLegendKey val="0"/>
          <c:showVal val="1"/>
          <c:showCatName val="0"/>
          <c:showSerName val="0"/>
          <c:showPercent val="0"/>
          <c:showBubbleSize val="0"/>
        </c:dLbls>
        <c:gapWidth val="219"/>
        <c:overlap val="-27"/>
        <c:axId val="689590672"/>
        <c:axId val="689591064"/>
      </c:barChart>
      <c:catAx>
        <c:axId val="689590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91064"/>
        <c:crosses val="autoZero"/>
        <c:auto val="1"/>
        <c:lblAlgn val="ctr"/>
        <c:lblOffset val="100"/>
        <c:noMultiLvlLbl val="0"/>
      </c:catAx>
      <c:valAx>
        <c:axId val="68959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9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874136682188"/>
          <c:y val="0.146991404011462"/>
          <c:w val="0.413997460138281"/>
          <c:h val="0.840687679083095"/>
        </c:manualLayout>
      </c:layout>
      <c:pie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explosion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Pt>
            <c:idx val="4"/>
            <c:bubble3D val="0"/>
            <c:spPr>
              <a:solidFill>
                <a:schemeClr val="accent3">
                  <a:lumMod val="60000"/>
                </a:schemeClr>
              </a:solidFill>
              <a:ln w="19050">
                <a:solidFill>
                  <a:schemeClr val="lt1"/>
                </a:solidFill>
              </a:ln>
              <a:effectLst/>
            </c:spPr>
          </c:dPt>
          <c:dLbls>
            <c:dLbl>
              <c:idx val="0"/>
              <c:layout>
                <c:manualLayout>
                  <c:x val="0.0910958268660929"/>
                  <c:y val="-0.04122792220430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6157138635718"/>
                  <c:y val="-0.01234872602374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99503252647938"/>
                  <c:y val="-0.30152368223207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63256667137011"/>
                      <c:h val="0.103151862464183"/>
                    </c:manualLayout>
                  </c15:layout>
                </c:ext>
              </c:extLst>
            </c:dLbl>
            <c:dLbl>
              <c:idx val="3"/>
              <c:layout>
                <c:manualLayout>
                  <c:x val="-0.0500482963505998"/>
                  <c:y val="0.01187453900419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9049097662138"/>
                  <c:y val="-0.03194143733449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机关单位</c:v>
                </c:pt>
                <c:pt idx="1">
                  <c:v>医疗单位</c:v>
                </c:pt>
                <c:pt idx="2">
                  <c:v>企业单位</c:v>
                </c:pt>
                <c:pt idx="3">
                  <c:v>项目类单位</c:v>
                </c:pt>
                <c:pt idx="4">
                  <c:v>继续深造或出国</c:v>
                </c:pt>
              </c:strCache>
            </c:strRef>
          </c:cat>
          <c:val>
            <c:numRef>
              <c:f>Sheet1!$B$2:$B$6</c:f>
              <c:numCache>
                <c:formatCode>0.00%</c:formatCode>
                <c:ptCount val="5"/>
                <c:pt idx="0">
                  <c:v>0.036</c:v>
                </c:pt>
                <c:pt idx="1">
                  <c:v>0.027</c:v>
                </c:pt>
                <c:pt idx="2">
                  <c:v>0.8288</c:v>
                </c:pt>
                <c:pt idx="3">
                  <c:v>0.009</c:v>
                </c:pt>
                <c:pt idx="4">
                  <c:v>0.099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73625"/>
          <c:y val="0.196833333333333"/>
          <c:w val="0.1985"/>
          <c:h val="0.643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2730302308974"/>
          <c:y val="0.0276338514680484"/>
          <c:w val="0.920542727921923"/>
          <c:h val="0.703339090385723"/>
        </c:manualLayout>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32人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53人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17人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3人</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很满意</c:v>
                </c:pt>
                <c:pt idx="1">
                  <c:v>比较满意</c:v>
                </c:pt>
                <c:pt idx="2">
                  <c:v>凑活着干</c:v>
                </c:pt>
                <c:pt idx="3">
                  <c:v>不满意</c:v>
                </c:pt>
              </c:strCache>
            </c:strRef>
          </c:cat>
          <c:val>
            <c:numRef>
              <c:f>Sheet1!$B$2:$B$5</c:f>
              <c:numCache>
                <c:formatCode>General</c:formatCode>
                <c:ptCount val="4"/>
                <c:pt idx="0">
                  <c:v>32</c:v>
                </c:pt>
                <c:pt idx="1">
                  <c:v>53</c:v>
                </c:pt>
                <c:pt idx="2">
                  <c:v>17</c:v>
                </c:pt>
                <c:pt idx="3">
                  <c:v>3</c:v>
                </c:pt>
              </c:numCache>
            </c:numRef>
          </c:val>
        </c:ser>
        <c:dLbls>
          <c:showLegendKey val="0"/>
          <c:showVal val="1"/>
          <c:showCatName val="0"/>
          <c:showSerName val="0"/>
          <c:showPercent val="0"/>
          <c:showBubbleSize val="0"/>
        </c:dLbls>
        <c:gapWidth val="219"/>
        <c:overlap val="-27"/>
        <c:axId val="689591848"/>
        <c:axId val="689592240"/>
      </c:barChart>
      <c:catAx>
        <c:axId val="689591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92240"/>
        <c:crosses val="autoZero"/>
        <c:auto val="1"/>
        <c:lblAlgn val="ctr"/>
        <c:lblOffset val="100"/>
        <c:noMultiLvlLbl val="0"/>
      </c:catAx>
      <c:valAx>
        <c:axId val="68959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918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1794</Words>
  <Characters>10228</Characters>
  <Lines>85</Lines>
  <Paragraphs>23</Paragraphs>
  <ScaleCrop>false</ScaleCrop>
  <LinksUpToDate>false</LinksUpToDate>
  <CharactersWithSpaces>11999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2016-12-21T11:04:00Z</dcterms:created>
  <dc:creator>Administrator</dc:creator>
  <cp:lastModifiedBy>qzuser</cp:lastModifiedBy>
  <dcterms:modified xsi:type="dcterms:W3CDTF">2017-12-29T04:34:12Z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